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tổ chức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có sự thay đổi tên, địa chỉ trụ sở, chi nhánh, văn phòng giao dịch, lĩnh vực hành nghề, danh sách luật sư thành viên, người đại diện theo pháp luật của tổ chức hành nghề luật sư, các nội dung khác trong hồ sơ đăng ký hoạt động thì trong thời hạn mười ngày làm việc, kể từ ngày quyết định thay đổi, tổ chức hành nghề luật sư phải đăng ký với Sở Tư pháp nơi tổ chức hành nghề luật sư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br/>
              <w:t>File đính kèm: 130-BTC.signed.pdf</w:t>
            </w:r>
          </w:p>
        </w:tc>
        <w:tc>
          <w:p/>
          <w:p>
            <w:pPr>
              <w:spacing w:after="0" w:before="0" w:lineRule="auto" w:line="276"/>
              <w:jc w:val="left"/>
            </w:pPr>
            <w:r>
              <w:rPr>
                <w:rFonts w:ascii="Times New Roman" w:hAnsi="Times New Roman" w:cs="Times New Roman" w:eastAsia="Times New Roman"/>
                <w:b w:val="false"/>
                <w:sz w:val="26"/>
              </w:rPr>
              <w:t>kể từ ngày quyết định thay đổi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quyết định thay đổi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quyết định thay đổi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tổ chức hành nghề luật sư (theo mẫu tại Thông tư 03/2024/TT-BTP)</w:t>
            </w:r>
          </w:p>
        </w:tc>
        <w:tc>
          <w:p/>
          <w:p>
            <w:pPr>
              <w:spacing w:after="0" w:before="0" w:lineRule="auto" w:line="276"/>
              <w:jc w:val="left"/>
            </w:pPr>
            <w:r>
              <w:rPr>
                <w:rFonts w:ascii="Times New Roman" w:hAnsi="Times New Roman" w:cs="Times New Roman" w:eastAsia="Times New Roman"/>
                <w:b w:val="false"/>
                <w:sz w:val="26"/>
              </w:rPr>
              <w:t>6. TP-LS-06. De nghi thay doi DKHD TCHNLS.doc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2026-05-20T04:42:58Z</dcterms:created>
  <dc:creator>Apache POI</dc:creator>
</cp:coreProperties>
</file>