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1.002035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2257/QĐ-BYT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tra và công nhận thành thạo ngôn ngữ trong hành nghề dược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kiểm tra và công nhận gửi 01 bộ hồ sơ quy định tới cơ sở giáo dục được công bố kiểm tra ngôn ngữ trong hành nghề dược quy định tại điểm c khoản 3 Điều 7 Thông tư 07/2018/TT-BYT;</w:t>
      </w:r>
    </w:p>
    <w:p>
      <w:pPr>
        <w:spacing w:after="0" w:before="0" w:lineRule="auto" w:line="276"/>
        <w:jc w:val="both"/>
      </w:pPr>
      <w:r>
        <w:rPr>
          <w:rFonts w:ascii="Times New Roman" w:hAnsi="Times New Roman" w:cs="Times New Roman" w:eastAsia="Times New Roman"/>
          <w:b w:val="false"/>
          <w:sz w:val="26"/>
        </w:rPr>
        <w:t>Bước 2: Trong thời hạn 30 ngày, kể từ ngày nhận đủ hồ sơ hợp lệ, cơ sở giáo dục kiểm tra và cấp giấy chứng nhận theo Mẫu số 04 quy định tại Phụ lục I kèm theo Thông tư 07/2018/TT-BYT đối với trường hợp quy định tại khoản 1 và khoản 2 Điều 4, khoản 1 Điều 5 Thông tư 07/2018/TT-BYT. Trường hợp không cấp giấy chứng nhận phải có văn bản trả lời và nêu rõ lý do.</w:t>
      </w:r>
    </w:p>
    <w:p>
      <w:pPr>
        <w:spacing w:after="0" w:before="0" w:lineRule="auto" w:line="276"/>
        <w:jc w:val="both"/>
      </w:pPr>
      <w:r>
        <w:rPr>
          <w:rFonts w:ascii="Times New Roman" w:hAnsi="Times New Roman" w:cs="Times New Roman" w:eastAsia="Times New Roman"/>
          <w:b w:val="false"/>
          <w:sz w:val="26"/>
        </w:rPr>
        <w:t xml:space="preserve">Bước 3: Trong thời hạn 03 (ba) ngày làm việc, kể từ ngày có kết quả kiểm tra, cơ sở giáo dục phải niêm yết công khai kết quả kiểm tra.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Phí :  	Không có thông tin  </w:t>
            </w:r>
          </w:p>
          <w:p>
            <w:pPr>
              <w:spacing w:after="0" w:before="0" w:lineRule="auto" w:line="276"/>
              <w:jc w:val="left"/>
            </w:pPr>
            <w:r>
              <w:rPr>
                <w:rFonts w:ascii="Times New Roman" w:hAnsi="Times New Roman" w:cs="Times New Roman" w:eastAsia="Times New Roman"/>
                <w:b w:val="false"/>
                <w:sz w:val="26"/>
              </w:rPr>
              <w:t xml:space="preserve">Lệ phí :  	Không có thông tin  </w:t>
            </w:r>
          </w:p>
          <w:p>
            <w:pPr>
              <w:spacing w:after="0" w:before="0" w:lineRule="auto" w:line="276"/>
              <w:jc w:val="left"/>
            </w:pPr>
            <w:r>
              <w:rPr>
                <w:rFonts w:ascii="Times New Roman" w:hAnsi="Times New Roman" w:cs="Times New Roman" w:eastAsia="Times New Roman"/>
                <w:b w:val="false"/>
                <w:sz w:val="26"/>
              </w:rPr>
              <w:t xml:space="preserve">Mức giá :  	Không có thông tin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Phí :  	Không có thông tin  </w:t>
            </w:r>
          </w:p>
          <w:p>
            <w:pPr>
              <w:spacing w:after="0" w:before="0" w:lineRule="auto" w:line="276"/>
              <w:jc w:val="left"/>
            </w:pPr>
            <w:r>
              <w:rPr>
                <w:rFonts w:ascii="Times New Roman" w:hAnsi="Times New Roman" w:cs="Times New Roman" w:eastAsia="Times New Roman"/>
                <w:b w:val="false"/>
                <w:sz w:val="26"/>
              </w:rPr>
              <w:t xml:space="preserve">Lệ phí :  	Không có thông tin  </w:t>
            </w:r>
          </w:p>
          <w:p>
            <w:pPr>
              <w:spacing w:after="0" w:before="0" w:lineRule="auto" w:line="276"/>
              <w:jc w:val="left"/>
            </w:pPr>
            <w:r>
              <w:rPr>
                <w:rFonts w:ascii="Times New Roman" w:hAnsi="Times New Roman" w:cs="Times New Roman" w:eastAsia="Times New Roman"/>
                <w:b w:val="false"/>
                <w:sz w:val="26"/>
              </w:rPr>
              <w:t xml:space="preserve">Mức giá :  	Không có thông tin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kiểm tra và công nhận thành thạo ngôn ngữ trong hành nghề dược theo Mẫu số 03 quy định tại Phụ lục I kèm theo Thông tư 07/2018/TT-BYT;</w:t>
            </w:r>
          </w:p>
        </w:tc>
        <w:tc>
          <w:p/>
          <w:p>
            <w:pPr>
              <w:spacing w:after="0" w:before="0" w:lineRule="auto" w:line="276"/>
              <w:jc w:val="left"/>
            </w:pPr>
            <w:r>
              <w:rPr>
                <w:rFonts w:ascii="Times New Roman" w:hAnsi="Times New Roman" w:cs="Times New Roman" w:eastAsia="Times New Roman"/>
                <w:b w:val="false"/>
                <w:sz w:val="26"/>
              </w:rPr>
              <w:t>phụ lục 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minh nhân dân hoặc thẻ căn cước công dân hoặc hộ chiếu hoặc số định danh cá nhân hoặc giấy tờ tương đương khác còn hạn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Hai ảnh màu 04 cm x 06 cm được chụp trên nền trắng trong thời gian không quá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nghề nghiệp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theo Mẫu số 04 quy định tại Phụ lục I kèm theo Thông tư 07/2018/TT-BYT,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07/2018/TT-BYT</w:t>
            </w:r>
          </w:p>
        </w:tc>
        <w:tc>
          <w:p/>
          <w:p>
            <w:pPr>
              <w:spacing w:after="0" w:before="0" w:lineRule="auto" w:line="276"/>
              <w:jc w:val="left"/>
            </w:pPr>
            <w:r>
              <w:rPr>
                <w:rFonts w:ascii="Times New Roman" w:hAnsi="Times New Roman" w:cs="Times New Roman" w:eastAsia="Times New Roman"/>
                <w:b w:val="false"/>
                <w:sz w:val="26"/>
              </w:rPr>
              <w:t>Thông tư 07/2018/TT-BYT</w:t>
            </w:r>
          </w:p>
        </w:tc>
        <w:tc>
          <w:p/>
          <w:p>
            <w:pPr>
              <w:spacing w:after="0" w:before="0" w:lineRule="auto" w:line="276"/>
              <w:jc w:val="left"/>
            </w:pPr>
            <w:r>
              <w:rPr>
                <w:rFonts w:ascii="Times New Roman" w:hAnsi="Times New Roman" w:cs="Times New Roman" w:eastAsia="Times New Roman"/>
                <w:b w:val="false"/>
                <w:sz w:val="26"/>
              </w:rPr>
              <w:t>12-04-2018</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4. Tiêu chí để công nhận người nước ngoài, người Việt Nam định cư ở nước ngoài biết tiếng Việt thành thạo hoặc sử dụng thành thạo ngôn ngữ khác trong hành nghề dược
1. Người hành nghề dược được công nhận biết tiếng Việt thành thạo trong hành nghề dược khi được cơ sở giáo dục quy định tại Điều 6 Thông tư này kiểm tra và công nhận biết tiếng Việt thành thạo, trừ các trường hợp quy định tại Khoản 3 Điều này.
2. Trường hợp người hành nghề đăng ký ngôn ngữ không phải tiếng mẹ đẻ hoặc tiếng Việt để hành nghề dược thì phải được cơ sở giáo dục quy định tại Điều 6 Thông tư này kiểm tra để công nhận người hành nghề thành thạo ngôn ngữ mà người hành nghề đăng ký sử dụng trong hành nghề dược, trừ các trường hợp quy định tại Khoản 3 Điều này. Ngôn ngữ mà người hành nghề đăng ký sử dụng trong hành nghề dược có thể là một trong các ngôn ngữ sau đây: Anh, Pháp, Nga, Trung Quốc, Nhật Bản và Hàn Quốc.
Điều 5. Tiêu chí để công nhận người đủ trình độ phiên dịch trong hành nghề dược
1. Người được công nhận đủ trình độ phiên dịch trong hành nghề dược khi được cơ sở giáo dục quy định tại Điều 6 Thông tư này kiểm tra và công nhận, trừ trường hợp quy định tại Khoản 2 Điều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2026-05-22T15:41:27Z</dcterms:created>
  <dc:creator>Apache POI</dc:creator>
</cp:coreProperties>
</file>