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1.002039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chứng thư số cho cơ quan, tổ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thẩm quyền của cơ quan, tổ chức theo quy định của pháp luật về quản lý và sử dụng con dấu được cơ quan, tổ chức giao quản lý chứng thư số của cơ quan, tổ chức phải có văn bản đề nghị cấp chứng thư số có xác nhận của cơ quan, tổ chức quản lý trực tiếp và hồ sơ gửi đến Người quản lý thuê bao.</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tiếp nhận hồ sơ hơp lệ, Người quản lý thuê bao gửi đề nghị cấp chứng thư số kèm theo hồ sơ về Cơ quan tiếp nhận yêu cầu chứng thực sau đây:
Cục Cơ yếu - Bộ Tổng Tham mưu, Bộ Quốc phòng là cơ quan tiếp nhận yêu cầu chứng thực đối với các yêu cầu dịch vụ chứng thực chữ ký số của các tổ chức, cá nhân ừong Quân đội nhân dân:
Địa chỉ: số 7 Nguyễn Tri Phương, Ba Đình, Hà Nội; Địa chỉ thư điện tử: cybqp@bcy.gov.vn.
Cục Cơ yếu - Bộ Công an là cơ quan tiếp nhận yêu cầu chứng thực đối với các yêu cầu dịch vụ chứng thực chữ ký số của các tổ chức, cá nhân trong Công an nhân dân:
Địa chỉ: số 44 Yết Kiêu, Hoàn Kiếm, Hà Nội; Địa chỉ thư điện tử: cybca@bcy.gov.vn.
Cục Cơ yếu - Bộ Ngoại giao là cơ quan tiếp nhận yêu cầu chứng thực đối với các yêu cầu dịch vụ chứng thực chữ ký số của các tổ chức, cá nhân trong phạm vi Bộ Ngoại giao:
Địa chỉ: số 1 Tôn Thất Đàm, Ba Đình, Hà Nội; Địa chỉ thư điện tử: cybng@bcy.gov.vn.
Cục Cơ yếu Đảng - Chính quyền thuộc Ban Cơ yếu Chính phủ là cơ quan tiêp nhận yêu câu chứng thực đối với các yêu cầu dịch vụ chứng thực chữ ký sô của các tố chức, cá nhân không thuộc các cơ quan trên:
Địa chỉ: Số 60 Nguyễn Chí Thanh, Đống Đa, Hà Nội; Địa chỉ thư điện tử: cydcq@bcy.gov.vn.</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tiếp nhận hồ sơ hợp lệ, Cơ quan tiếp nhận yêu cầu chứng thực có trách nhiệm kiểm tra hồ sơ, lập danh sách đê nghị cấp chứng thư, kèm theo bản sao hồ sơ hợp lệ và danh sách đề nghị cấp chứng thư số của Người quản lý thuê bao gửi về Cục Chứng thực số và Bảo mật thông tin.</w:t>
      </w:r>
    </w:p>
    <w:p>
      <w:pPr>
        <w:spacing w:after="0" w:before="0" w:lineRule="auto" w:line="276"/>
        <w:jc w:val="both"/>
      </w:pPr>
      <w:r>
        <w:rPr>
          <w:rFonts w:ascii="Times New Roman" w:hAnsi="Times New Roman" w:cs="Times New Roman" w:eastAsia="Times New Roman"/>
          <w:b w:val="false"/>
          <w:sz w:val="26"/>
        </w:rPr>
        <w:t>Bước 4. Sau khi tiếp nhận hồ sơ hợp lệ, Cục Chứng thực số và Bảo mật thông tin kiểm tra hồ sơ, thực hiện hoạt động tạo cặp khóa, tạo chứng thư số, bảo đảm thiết bị lưu khóa bí mật cho thuê bao. Thông báo thời gian, địa điểm tiếp nhận thiết bị lưu khóa bí mật cho Cơ quan tiếp nhận yêu cầu chứng thực.</w:t>
      </w:r>
    </w:p>
    <w:p>
      <w:pPr>
        <w:spacing w:after="0" w:before="0" w:lineRule="auto" w:line="276"/>
        <w:jc w:val="both"/>
      </w:pPr>
      <w:r>
        <w:rPr>
          <w:rFonts w:ascii="Times New Roman" w:hAnsi="Times New Roman" w:cs="Times New Roman" w:eastAsia="Times New Roman"/>
          <w:b w:val="false"/>
          <w:sz w:val="26"/>
        </w:rPr>
        <w:t>Bước 5. Trong thời hạn 03 ngày làm việc, kể từ ngày tiếp nhận hồ sơ họp lệ, Cục chứng thực số và Bảo mật thông tin có trách nhiệm kiểm tra hồ sơ, tổ chức tạo cặp khóa, tạo chứng thư số, bảo đảm thiết bị lưu khóa bí mật cho thuê bao. Thông báo thời gian, địa điểm tiếp nhận thiết bị lưu khóa bí mật cho Cơ quan tiếp nhận yêu cầu chứng thực.</w:t>
      </w:r>
    </w:p>
    <w:p>
      <w:pPr>
        <w:spacing w:after="0" w:before="0" w:lineRule="auto" w:line="276"/>
        <w:jc w:val="both"/>
      </w:pPr>
      <w:r>
        <w:rPr>
          <w:rFonts w:ascii="Times New Roman" w:hAnsi="Times New Roman" w:cs="Times New Roman" w:eastAsia="Times New Roman"/>
          <w:b w:val="false"/>
          <w:sz w:val="26"/>
        </w:rPr>
        <w:t>Bước 6. Trong thời hạn 02 ngày làm việc, kể từ ngày nhận được thông báo thời gian, địa điểm tiếp nhận thiết bị lưu khóa bí mật, Cơ quan tiếp nhận yêu cầu chứng thực có trách nhiệm tiêp nhận thiêt bị lưu khóa từ Cục Chứng thực sô và Bảo mật thông tin.</w:t>
      </w:r>
    </w:p>
    <w:p>
      <w:pPr>
        <w:spacing w:after="0" w:before="0" w:lineRule="auto" w:line="276"/>
        <w:jc w:val="both"/>
      </w:pPr>
      <w:r>
        <w:rPr>
          <w:rFonts w:ascii="Times New Roman" w:hAnsi="Times New Roman" w:cs="Times New Roman" w:eastAsia="Times New Roman"/>
          <w:b w:val="false"/>
          <w:sz w:val="26"/>
        </w:rPr>
        <w:t>Bước 7. Trong thời hạn 03 ngày làm việc, kể từ ngày nhận được thiết bị lưu khóa bí mật, Cơ quan tiếp nhận yêu cầu chứng thực có trách nhiệm thông báo và tổ chức bàn giao thiết bị lưu khóa bí mật cho Người quản lý thuê bao.</w:t>
      </w:r>
    </w:p>
    <w:p>
      <w:pPr>
        <w:spacing w:after="0" w:before="0" w:lineRule="auto" w:line="276"/>
        <w:jc w:val="both"/>
      </w:pPr>
      <w:r>
        <w:rPr>
          <w:rFonts w:ascii="Times New Roman" w:hAnsi="Times New Roman" w:cs="Times New Roman" w:eastAsia="Times New Roman"/>
          <w:b w:val="false"/>
          <w:sz w:val="26"/>
        </w:rPr>
        <w:t>Bước 8. Trong thòi hạn 03 ngày làm việc, kể từ ngày nhận thiết bị lưu khóa bí mật, Người quản lý thuê bao bàn giao thiết bị lưu khóa bí mật đến thuê bao. Sau khi bàn giao thiết bị lưu khóa bí mật cho thuê bao, Người quản lý thuê bao gửi đề nghị thời điểm có hiệu lực của chứng thư về Cục Chứng thực số và Bảo mật thông tin.</w:t>
      </w:r>
    </w:p>
    <w:p>
      <w:pPr>
        <w:spacing w:after="0" w:before="0" w:lineRule="auto" w:line="276"/>
        <w:jc w:val="both"/>
      </w:pPr>
      <w:r>
        <w:rPr>
          <w:rFonts w:ascii="Times New Roman" w:hAnsi="Times New Roman" w:cs="Times New Roman" w:eastAsia="Times New Roman"/>
          <w:b w:val="false"/>
          <w:sz w:val="26"/>
        </w:rPr>
        <w:t>Bước 9. Trong thòi hạn 01 ngày làm việc, kể từ khi nhận được đề nghị thời điểm có hiệu lực của chứng thư số, Cục Chứng thực số và Bảo mật thông tin có trách nhiệm công bố chứng thư số của thuê bao trên trang thông tin điện tử của Cục Chứng thực số và Bảo mật thông tin. Chúng thư số của thuê bao có hiệu lực kể từ thời điểm được Cục Chứng thực số và Bảo mật thông tin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06 ngày làm việc cho Người quản lý thuê bao.
08 ngày làm việc cho Cơ quan tiếp nhận yêu cầu chứng thực.
03 ngày làm việc cho Cục Chứng thực số và Bảo mật thông tin.
01 ngày làm việc cho Cục Chứng thực số và Bảo mật thông tin công bố chứng thư số.</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06 ngày làm việc cho Người quản lý thuê bao.
08 ngày làm việc cho Cơ quan tiếp nhận yêu cầu chứng thực.
03 ngày làm việc cho Cục Chứng thực số và Bảo mật thông tin.
01 ngày làm việc cho Cục Chứng thực số và Bảo mật thông tin công bố chứng thư số.</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06 ngày làm việc cho Người quản lý thuê bao.
08 ngày làm việc cho Cơ quan tiếp nhận yêu cầu chứng thực.
03 ngày làm việc cho Cục Chứng thực số và Bảo mật thông tin.
01 ngày làm việc cho Cục Chứng thực số và Bảo mật thông tin công bố chứng thư số.</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người được cơ quan, tổ chức giao quản lý chứng thư số của cơ quan, tổ chức và được người đứng đầu cơ quan, tổ chức quản lý trực tiếp xác nhận.</w:t>
            </w:r>
          </w:p>
        </w:tc>
        <w:tc>
          <w:p/>
          <w:p>
            <w:pPr>
              <w:spacing w:after="0" w:before="0" w:lineRule="auto" w:line="276"/>
              <w:jc w:val="left"/>
            </w:pPr>
            <w:r>
              <w:rPr>
                <w:rFonts w:ascii="Times New Roman" w:hAnsi="Times New Roman" w:cs="Times New Roman" w:eastAsia="Times New Roman"/>
                <w:b w:val="false"/>
                <w:sz w:val="26"/>
              </w:rPr>
              <w:t>Mẫu số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công chứng giấy chứng nhận đã đăng ký mẫu con dấu hoặc xác thực bằng văn bản của cơ quan, tổ chức cấp trến trực tiếp mẫu con dấu của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công chúng quyết định bổ nhiệm hoặc xác thực bằng văn bản của cơ quan, tổ chức quản lý trực tiếp người có thẩm quyền của cơ quan, tổ chức theo quy định của pháp luật về quản lý và sử dụng con dấu được cơ quan, tổ chức giao quản lý chứng thư số của cơ quan,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tổ chức quản lý trực tiếp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Chứng thực số và Bảo mật thông tin/Ban Cơ yếu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thư số cho người có thẩm quyền của cơ quan, tổ chức; thiết bị lưu khóa bí mật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08/2016/TT-BQP</w:t>
            </w:r>
          </w:p>
        </w:tc>
        <w:tc>
          <w:p/>
          <w:p>
            <w:pPr>
              <w:spacing w:after="0" w:before="0" w:lineRule="auto" w:line="276"/>
              <w:jc w:val="left"/>
            </w:pPr>
            <w:r>
              <w:rPr>
                <w:rFonts w:ascii="Times New Roman" w:hAnsi="Times New Roman" w:cs="Times New Roman" w:eastAsia="Times New Roman"/>
                <w:b w:val="false"/>
                <w:sz w:val="26"/>
              </w:rPr>
              <w:t>THÔNG TƯ 08/2016/TT-BQP - QUY ĐỊNH VỀ CUNG CẤP, QUẢN LÝ, SỬ DỤNG DỊCH VỤ CHỨNG THỰC CHỮ KÝ SỐ CHUYÊN DÙNG PHỤC VỤ CÁC CƠ QUAN ĐẢNG, NHÀ NƯỚC, TỔ CHỨC CHÍNH TRỊ - XÃ HỘI</w:t>
            </w:r>
          </w:p>
        </w:tc>
        <w:tc>
          <w:p/>
          <w:p>
            <w:pPr>
              <w:spacing w:after="0" w:before="0" w:lineRule="auto" w:line="276"/>
              <w:jc w:val="left"/>
            </w:pPr>
            <w:r>
              <w:rPr>
                <w:rFonts w:ascii="Times New Roman" w:hAnsi="Times New Roman" w:cs="Times New Roman" w:eastAsia="Times New Roman"/>
                <w:b w:val="false"/>
                <w:sz w:val="26"/>
              </w:rPr>
              <w:t>01-02-2016</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26/2007/NĐ-CP</w:t>
            </w:r>
          </w:p>
        </w:tc>
        <w:tc>
          <w:p/>
          <w:p>
            <w:pPr>
              <w:spacing w:after="0" w:before="0" w:lineRule="auto" w:line="276"/>
              <w:jc w:val="left"/>
            </w:pPr>
            <w:r>
              <w:rPr>
                <w:rFonts w:ascii="Times New Roman" w:hAnsi="Times New Roman" w:cs="Times New Roman" w:eastAsia="Times New Roman"/>
                <w:b w:val="false"/>
                <w:sz w:val="26"/>
              </w:rPr>
              <w:t>Nghị định 26/2007/NĐ-CP</w:t>
            </w:r>
          </w:p>
        </w:tc>
        <w:tc>
          <w:p/>
          <w:p>
            <w:pPr>
              <w:spacing w:after="0" w:before="0" w:lineRule="auto" w:line="276"/>
              <w:jc w:val="left"/>
            </w:pPr>
            <w:r>
              <w:rPr>
                <w:rFonts w:ascii="Times New Roman" w:hAnsi="Times New Roman" w:cs="Times New Roman" w:eastAsia="Times New Roman"/>
                <w:b w:val="false"/>
                <w:sz w:val="26"/>
              </w:rPr>
              <w:t>15-02-2007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106/2011/NĐ-CP</w:t>
            </w:r>
          </w:p>
        </w:tc>
        <w:tc>
          <w:p/>
          <w:p>
            <w:pPr>
              <w:spacing w:after="0" w:before="0" w:lineRule="auto" w:line="276"/>
              <w:jc w:val="left"/>
            </w:pPr>
            <w:r>
              <w:rPr>
                <w:rFonts w:ascii="Times New Roman" w:hAnsi="Times New Roman" w:cs="Times New Roman" w:eastAsia="Times New Roman"/>
                <w:b w:val="false"/>
                <w:sz w:val="26"/>
              </w:rPr>
              <w:t>Nghị định số 106/2011/NĐ-CP</w:t>
            </w:r>
          </w:p>
        </w:tc>
        <w:tc>
          <w:p/>
          <w:p>
            <w:pPr>
              <w:spacing w:after="0" w:before="0" w:lineRule="auto" w:line="276"/>
              <w:jc w:val="left"/>
            </w:pPr>
            <w:r>
              <w:rPr>
                <w:rFonts w:ascii="Times New Roman" w:hAnsi="Times New Roman" w:cs="Times New Roman" w:eastAsia="Times New Roman"/>
                <w:b w:val="false"/>
                <w:sz w:val="26"/>
              </w:rPr>
              <w:t>23-11-2011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170/2013/NĐ-CP</w:t>
            </w:r>
          </w:p>
        </w:tc>
        <w:tc>
          <w:p/>
          <w:p>
            <w:pPr>
              <w:spacing w:after="0" w:before="0" w:lineRule="auto" w:line="276"/>
              <w:jc w:val="left"/>
            </w:pPr>
            <w:r>
              <w:rPr>
                <w:rFonts w:ascii="Times New Roman" w:hAnsi="Times New Roman" w:cs="Times New Roman" w:eastAsia="Times New Roman"/>
                <w:b w:val="false"/>
                <w:sz w:val="26"/>
              </w:rPr>
              <w:t>Nghị định số 170/2013/NĐ-CP</w:t>
            </w:r>
          </w:p>
        </w:tc>
        <w:tc>
          <w:p/>
          <w:p>
            <w:pPr>
              <w:spacing w:after="0" w:before="0" w:lineRule="auto" w:line="276"/>
              <w:jc w:val="left"/>
            </w:pPr>
            <w:r>
              <w:rPr>
                <w:rFonts w:ascii="Times New Roman" w:hAnsi="Times New Roman" w:cs="Times New Roman" w:eastAsia="Times New Roman"/>
                <w:b w:val="false"/>
                <w:sz w:val="26"/>
              </w:rPr>
              <w:t>13-11-2013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Phải là cơ quan, tổ chức có tư cách pháp nhân;
Có quyết định thành lập cơ quan, tổ chức hoặc xác nhận của người đứng đầu cơ quan, tổ chức cấp trên trực tiếp;
Có văn bản đề nghị của người được cơ quan, tổ chức giao quản lý chứng thư số của cơ quan, tổ chức và được người đứng đầu cơ quan, tổ chức quản lý trực tiếp xác nhận;
Được Người quản lý thuê bao phê duyệt và đề nghị cấp chứng thư số.</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2026-05-23T16:46:22Z</dcterms:created>
  <dc:creator>Apache POI</dc:creator>
</cp:coreProperties>
</file>