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1.010671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657/QĐ-UBND_ĐT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xây dựng triển khai sau thiết kế cơ sở/điều chỉnh Thiết kế xây dựng triển khai sau thiết kế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thẩm định nộp bộ hồ sơ đề nghị thẩm định thiết kế xây dựng triển khai sau thiết kế cơ sở/điều chỉnh Thiết kế xây dựng triển khai sau thiết kế cơ sở  công trình  và nộp hồ sơ trực tuyến tại địa chỉ https://dichvucong.danang.gov.vn (Sở Ban ngành - Sở Giao thông vận tải) hoặc trực tiếp tại Tổ tiếp nhận và Trả kết quả của Sở Giao thông vận tải (Đối với người đề nghị thẩm định là các cơ quan, địa phương trên địa bàn thành phố : áp dụng hình thức nộp trực tuyến tại địa chỉ https://dichvucong.danang.gov.vn).
Bước 2: Tổ tiếp nhận và trả kết quả Sở Giao thông vận tải thành phố Đà Nẵng kiểm tra tính hợp lệ và đầy đủ thành phần hồ sơ quy định. Nếu hồ sơ còn thiếu,  không hợp lệ  thì từ chối tiếp nhận. Nếu hồ sơ đầy đủ, hợp lệ tiếp nhận hồ sơ và chuyển thông tin hồ sơ đến Trưởng phòng chuyên môn.
Bước 3. Sở Giao thông vận tải thẩm định hồ sơ:
a) Nếu hồ sơ cần bổ sung các văn bản pháp lý khác làm cơ sở để thẩm định: Trong vòng 5 ngày, Sở Giao thông vận tải có kết quả xử lý hồ sơ là Công văn yêu cầu bổ sung hồ sơ, cập nhật kết quả trên phần mềm và gửi Tổ tiếp nhận và trả kết quả Sở Giao thông vận tải thành phố Đà Nẵng.
b) Nếu hồ sơ hợp lệ, đầy đủ văn bản pháp lý làm cơ sở thẩm định, Sở GTVT chủ trì tổ chức thẩm định như sau:
- Sở Giao thông vận tải tổ chức thẩm định và ban hành Công văn Thông báo kết quả thẩm định theo thời gian quy định.
- Trường hợp hồ sơ cần lấy ý kiến của các cơ quan, tổ chức có liên quan thì trong thời gian 5 ngày từ ngày nhận đủ hồ sơ hợp lệ, Sở Giao thông vận tải có văn bản gửi lấy ý kiến các cơ quan, tổ chức có liên quan theo quy định. 
- Trường hợp, Sở GTVT không đủ điều kiện thực hiện công tác thẩm định, trong vòng 5 ngày từ ngày nhận đủ hồ sơ hợp lệ, Sở GTVT có kết quả xử lý hồ sơ là văn bản yêu cầu chủ đầu tư lựa chọn tổ chức tư vấn thực hiện thẩm tra phục vụ công tác thẩm định  hoặc yêu cầu bổ sung, hoàn thiện báo cáo thẩm tra trường hợp báo cáo kết quả thẩm tra chưa đủ cơ sở để kết luận thẩm định  (trường hợp chủ đầu tư đã thực hiện việc thẩm định trước khi trình Sở GTVT thẩm định), cập nhật kết quả trên phần mềm và gửi Tổ tiếp nhận và trả kết quả Sở Giao thông vận tải thành phố Đà Nẵng. Sau khi có kết quả thẩm tra, yêu cầu chủ đầu tư hoặc đơn vị điều hành dự án trình lại hồ sơ theo quy định.
Bước 4: Trường hợp hồ sơ công trình thuộc thẩm quyền phê duyệt của UBND thành phố (UBND thành phố là Chủ đầu tư), Sở GTVT gửi liên thông Kết quả thẩm định kèm dự thảo Quyết định phê duyệt của Sở Giao thông vận tải trên trang Dịch vụ công trực tuyến đồng thời gửi trực tiếp đến Bộ phận tiếp nhận và trả kết quả của Văn phòng UBND thành phố Đà Nẵng  và nhận Quyết định phê duyệt của UBND thành phố qua trang Dịch vụ công trực tuyến và từ Tổ tiếp nhận và trả kết quả của Văn phòng UBND thành phố.
Bước 5: Tổ tiếp nhận và trả kết quả Sở Giao thông vận tải thành phố Đà Nẵng trả kết quả xử lý hồ sơ cho tổ chức, cá nhân và yêu cầu tổ chức, cá nhân nộp các khoản phí (nếu có) trước khi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Tại Sở Giao thông vận tải: - Thời gian có Công văn yêu cầu bổ sung các văn bản pháp lý khác làm cơ sở để thẩm định: Không quá 5 ngày làm việc. - Thời gian thông báo đề nghị lựa chọn tư vấn thẩm tra phục vụ thẩm định: Không quá 5 ngày làm việc kể từ ngày nhận đủ hồ sơ hợp lệ. - Thời gian có văn bản lấy ý kiến của các đơn vị, tổ chức có liên quan: Không quá 5 ngày làm việc kể từ ngày nhận đủ hồ sơ hợp lệ. - Thời gian thẩm định của Sở GTVT:  + Trường hợp thuê Tư vấn thẩm tra: Không quá 18 ngày (đối với công trình cấp II và cấp III), 12 ngày (đối với công trình còn lại). + Trường hợp Sở GTVT tự thẩm định: Không quá 21 ngày (đối với công trình cấp II và cấp III), 14 ngày (đối với công trình còn lại). + Trường hợp thiết kế, dự toán điều chỉnh: Không quá 12 ngày. b) Thời gian phê duyệt của UBND thành phố Đà Nẵng (đối với hồ sơ UBND thành phố là chủ đầu tư): Không quá 03 ngày. </w:t>
            </w:r>
          </w:p>
        </w:tc>
        <w:tc>
          <w:p/>
          <w:p>
            <w:pPr>
              <w:spacing w:after="0" w:before="0" w:lineRule="auto" w:line="276"/>
              <w:jc w:val="left"/>
            </w:pPr>
            <w:r>
              <w:rPr>
                <w:rFonts w:ascii="Times New Roman" w:hAnsi="Times New Roman" w:cs="Times New Roman" w:eastAsia="Times New Roman"/>
                <w:b w:val="false"/>
                <w:sz w:val="26"/>
              </w:rPr>
              <w:t xml:space="preserve">Phí : Đối với các công trình Sở Giao thông vận tải trực tiếp thẩm định toàn bộ công việc hoặc Sở Giao thông vận tải thuê tổ chức tư vấn, cá nhân cùng thẩm định thì phí thẩm định được xác định theo mức thu tỷ lệ phần trăm (%) (quy định tại phụ lục 1, Phụ lục 2, Thông tư 210/2016/TT-BTC của Bộ trưởng Bộ Tài chính) nhân với chi phí xây dựng (chưa có thuế giá trị gia tăng) trong dự toán công trình được duyệt. </w:t>
            </w:r>
          </w:p>
        </w:tc>
        <w:tc>
          <w:p/>
          <w:p>
            <w:pPr>
              <w:spacing w:after="0" w:before="0" w:lineRule="auto" w:line="276"/>
              <w:jc w:val="left"/>
            </w:pPr>
            <w:r>
              <w:rPr>
                <w:rFonts w:ascii="Times New Roman" w:hAnsi="Times New Roman" w:cs="Times New Roman" w:eastAsia="Times New Roman"/>
                <w:b w:val="false"/>
                <w:sz w:val="26"/>
              </w:rPr>
              <w:t>- Đối với người đề nghị thẩm định là các cơ quan, địa phương trên địa bàn thành phố : Tổ chức, cá nhân khai báo thông tin, đính kèm các tập tin hồ sơ liên quan và nộp trực tuyến tại địa chỉ https://dichvucong.danang.gov.vn (Sở Ban ngành - Sở Giao thông vận tải).
- Đối với người đề nghị thẩm khác: Nộp hồ sơ trực tuyến tại địa chỉ https://dichvucong.danang.gov.vn (Sở Ban ngành - Sở Giao thông vận tải) hoặc trực tiếp tại Tổ tiếp nhận và Trả kết quả của Sở Giao thông vận tải.
- Tổ chức nhận kết quả xử lý hồ sơ tại Tổ tiếp nhận và trả kết quả Sở Giao thông vận tải thành phố Đà Nẵng hoặc theo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Tại Sở Giao thông vận tải: - Thời gian có Công văn yêu cầu bổ sung các văn bản pháp lý khác làm cơ sở để thẩm định: Không quá 5 ngày làm việc. - Thời gian thông báo đề nghị lựa chọn tư vấn thẩm tra phục vụ thẩm định: Không quá 5 ngày làm việc kể từ ngày nhận đủ hồ sơ hợp lệ. - Thời gian có văn bản lấy ý kiến của các đơn vị, tổ chức có liên quan: Không quá 5 ngày làm việc kể từ ngày nhận đủ hồ sơ hợp lệ. - Thời gian thẩm định của Sở GTVT:  + Trường hợp thuê Tư vấn thẩm tra: Không quá 18 ngày (đối với công trình cấp II và cấp III), 12 ngày (đối với công trình còn lại). + Trường hợp Sở GTVT tự thẩm định: Không quá 21 ngày (đối với công trình cấp II và cấp III), 14 ngày (đối với công trình còn lại). + Trường hợp thiết kế, dự toán điều chỉnh: Không quá 12 ngày. b) Thời gian phê duyệt của UBND thành phố Đà Nẵng (đối với hồ sơ UBND thành phố là chủ đầu tư): Không quá 03 ngày. </w:t>
            </w:r>
          </w:p>
        </w:tc>
        <w:tc>
          <w:p/>
          <w:p>
            <w:pPr>
              <w:spacing w:after="0" w:before="0" w:lineRule="auto" w:line="276"/>
              <w:jc w:val="left"/>
            </w:pPr>
            <w:r>
              <w:rPr>
                <w:rFonts w:ascii="Times New Roman" w:hAnsi="Times New Roman" w:cs="Times New Roman" w:eastAsia="Times New Roman"/>
                <w:b w:val="false"/>
                <w:sz w:val="26"/>
              </w:rPr>
              <w:t xml:space="preserve">Phí : Đối với các công trình Sở Giao thông vận tải trực tiếp thẩm định toàn bộ công việc hoặc Sở Giao thông vận tải thuê tổ chức tư vấn, cá nhân cùng thẩm định thì phí thẩm định được xác định theo mức thu tỷ lệ phần trăm (%) (quy định tại phụ lục 1, Phụ lục 2, Thông tư 210/2016/TT-BTC của Bộ trưởng Bộ Tài chính) nhân với chi phí xây dựng (chưa có thuế giá trị gia tăng) trong dự toán công trình được duyệt. </w:t>
            </w:r>
          </w:p>
        </w:tc>
        <w:tc>
          <w:p/>
          <w:p>
            <w:pPr>
              <w:spacing w:after="0" w:before="0" w:lineRule="auto" w:line="276"/>
              <w:jc w:val="left"/>
            </w:pPr>
            <w:r>
              <w:rPr>
                <w:rFonts w:ascii="Times New Roman" w:hAnsi="Times New Roman" w:cs="Times New Roman" w:eastAsia="Times New Roman"/>
                <w:b w:val="false"/>
                <w:sz w:val="26"/>
              </w:rPr>
              <w:t>- Đối với người đề nghị thẩm định là các cơ quan, địa phương trên địa bàn thành phố : Tổ chức, cá nhân khai báo thông tin, đính kèm các tập tin hồ sơ liên quan và nộp trực tuyến tại địa chỉ https://dichvucong.danang.gov.vn (Sở Ban ngành - Sở Giao thông vận tải).
- Đối với người đề nghị thẩm khác: Nộp hồ sơ trực tuyến tại địa chỉ https://dichvucong.danang.gov.vn (Sở Ban ngành - Sở Giao thông vận tải) hoặc trực tiếp tại Tổ tiếp nhận và Trả kết quả của Sở Giao thông vận tải.
- Tổ chức nhận kết quả xử lý hồ sơ tại Tổ tiếp nhận và trả kết quả Sở Giao thông vận tải thành phố Đà Nẵng hoặc theo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Tại Sở Giao thông vận tải: - Thời gian có Công văn yêu cầu bổ sung các văn bản pháp lý khác làm cơ sở để thẩm định: Không quá 5 ngày làm việc. - Thời gian thông báo đề nghị lựa chọn tư vấn thẩm tra phục vụ thẩm định: Không quá 5 ngày làm việc kể từ ngày nhận đủ hồ sơ hợp lệ. - Thời gian có văn bản lấy ý kiến của các đơn vị, tổ chức có liên quan: Không quá 5 ngày làm việc kể từ ngày nhận đủ hồ sơ hợp lệ. - Thời gian thẩm định của Sở GTVT:  + Trường hợp thuê Tư vấn thẩm tra: Không quá 18 ngày (đối với công trình cấp II và cấp III), 12 ngày (đối với công trình còn lại). + Trường hợp Sở GTVT tự thẩm định: Không quá 21 ngày (đối với công trình cấp II và cấp III), 14 ngày (đối với công trình còn lại). + Trường hợp thiết kế, dự toán điều chỉnh: Không quá 12 ngày. b) Thời gian phê duyệt của UBND thành phố Đà Nẵng (đối với hồ sơ UBND thành phố là chủ đầu tư): Không quá 03 ngày. </w:t>
            </w:r>
          </w:p>
        </w:tc>
        <w:tc>
          <w:p/>
          <w:p>
            <w:pPr>
              <w:spacing w:after="0" w:before="0" w:lineRule="auto" w:line="276"/>
              <w:jc w:val="left"/>
            </w:pPr>
            <w:r>
              <w:rPr>
                <w:rFonts w:ascii="Times New Roman" w:hAnsi="Times New Roman" w:cs="Times New Roman" w:eastAsia="Times New Roman"/>
                <w:b w:val="false"/>
                <w:sz w:val="26"/>
              </w:rPr>
              <w:t xml:space="preserve">Phí : Đối với các công trình Sở Giao thông vận tải trực tiếp thẩm định toàn bộ công việc hoặc Sở Giao thông vận tải thuê tổ chức tư vấn, cá nhân cùng thẩm định thì phí thẩm định được xác định theo mức thu tỷ lệ phần trăm (%) (quy định tại phụ lục 1, Phụ lục 2, Thông tư 210/2016/TT-BTC của Bộ trưởng Bộ Tài chính) nhân với chi phí xây dựng (chưa có thuế giá trị gia tăng) trong dự toán công trình được duyệt. </w:t>
            </w:r>
          </w:p>
        </w:tc>
        <w:tc>
          <w:p/>
          <w:p>
            <w:pPr>
              <w:spacing w:after="0" w:before="0" w:lineRule="auto" w:line="276"/>
              <w:jc w:val="left"/>
            </w:pPr>
            <w:r>
              <w:rPr>
                <w:rFonts w:ascii="Times New Roman" w:hAnsi="Times New Roman" w:cs="Times New Roman" w:eastAsia="Times New Roman"/>
                <w:b w:val="false"/>
                <w:sz w:val="26"/>
              </w:rPr>
              <w:t>- Đối với người đề nghị thẩm định là các cơ quan, địa phương trên địa bàn thành phố : Tổ chức, cá nhân khai báo thông tin, đính kèm các tập tin hồ sơ liên quan và nộp trực tuyến tại địa chỉ https://dichvucong.danang.gov.vn (Sở Ban ngành - Sở Giao thông vận tải).
- Đối với người đề nghị thẩm khác: Nộp hồ sơ trực tuyến tại địa chỉ https://dichvucong.danang.gov.vn (Sở Ban ngành - Sở Giao thông vận tải) hoặc trực tiếp tại Tổ tiếp nhận và Trả kết quả của Sở Giao thông vận tải.
- Tổ chức nhận kết quả xử lý hồ sơ tại Tổ tiếp nhận và trả kết quả Sở Giao thông vận tải thành phố Đà Nẵng hoặc theo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trình thẩm định Thiết kế xây dựng triển khai sau thiết kế cơ sở/điều chỉnh Thiết kế xây dựng triển khai sau thiết kế cơ sở</w:t>
            </w:r>
          </w:p>
        </w:tc>
        <w:tc>
          <w:p/>
          <w:p>
            <w:pPr>
              <w:spacing w:after="0" w:before="0" w:lineRule="auto" w:line="276"/>
              <w:jc w:val="left"/>
            </w:pPr>
            <w:r>
              <w:rPr>
                <w:rFonts w:ascii="Times New Roman" w:hAnsi="Times New Roman" w:cs="Times New Roman" w:eastAsia="Times New Roman"/>
                <w:b w:val="false"/>
                <w:sz w:val="26"/>
              </w:rPr>
              <w:t>To trinh Tham dinh thiet ke xay dung trien khai sau thiet ke co so.doc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văn bản pháp lý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2.1. Văn bản thẩm duyệt thiết kế phòng cháy chữa cháy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Báo cáo đánh giá tác động môi trường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Quyết định phê duyệt báo cáo đánh giá tác động môi trường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2.4. Kết quả thẩm tra của tư vấn thẩm tra được Chủ đầu tư xác nhận (Bắt buộc đối với công trình có thẩm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2.5. Văn bản lựa chọn Tư vấn thẩm tra của chủ đầu tư (Bắt buộc đối với công trình có thẩm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2.6. Văn bản yêu cầu lựa chọn Tư vấn thẩm tra của Sở GTVT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2.7. Báo cáo tình hình thực tế thi công xây dựng công trình của chủ đầu tư (trường hợp công trình đã thi công xây dựng)(Bắt buộc đối với hồ sơ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2.8. Văn bản cho phép sử dụng dự phòng phí của cấp thẩm quyền (Bắt buộc đối với hồ sơ dự toán điều chỉnh có sử dụng chi phí dự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2.9. Văn bản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Hồ sơ năng lực của nhà thầu khảo sát, thiết kế.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3.1. Mã số chứng chỉ năng lực hoạt động xây dựng của nhà thầu khảo sát, nhà thầu lập thiết kế xây dựng, nhà thầu thẩm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3.2. Mã số chứng chỉ hành nghề hoạt động xây dựng của các chức danh chủ nhiệm khảo sát xây dựng; chủ nhiệm, chủ trì các bộ môn thiết kế; chủ nhiệm, chủ trì thẩm tra; Giấy phép hoạt động xây dựng của nhà thầu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Các hồ sơ khảo sát xây dựng phù hợp với giai đoạn thiết kế  được chủ đầu tư phê duyệt (bản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Hồ sơ thiết kế cơ sở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5.1. Quyết định phê duyệt dự án kèm theo Báo cáo nghiên cứu khả thi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5.2. Văn bản thông báo kết quả thẩm định của cơ quan chuyên môn về xây dựng và hồ sơ bản vẽ thiết kế cơ sở được đóng dấu xác nhận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Hồ sơ thiết kế bước thiết kế trình thẩm định hoặc hồ sơ thiết kế đã thẩm tra có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Thuyết minh và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Dự toán xây dựng công trình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Chỉ dẫn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Bảng tính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Hồ sơ được trả kết quả tại Tổ tiếp nhận và trả kết quả Sở Giao thông vận tải thành phố Đà Nẵng, TTHC thành phố, 24 Trần Phú, Thạch Thang, Hải Châu,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Công văn yêu cầu bổ sung các văn bản pháp lý, thành phần hồ sơ khác có liên quan làm cơ sở thẩm định., - Công văn thông báo yêu cầu lựa chọn tư vấn thẩm tra., - Công văn ý kiến thẩm định hồ sơ thiết kế, dự toán., - Công văn kết quả thẩm định thiết kế của Sở GTVT (kèm Quyết định của UBND thành phố trong trường hợp UBND thành phố phê duyệt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210/2016/TT-BTC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62/2020/QH14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10/2021/NĐ-CP</w:t>
            </w:r>
          </w:p>
        </w:tc>
        <w:tc>
          <w:p/>
          <w:p>
            <w:pPr>
              <w:spacing w:after="0" w:before="0" w:lineRule="auto" w:line="276"/>
              <w:jc w:val="left"/>
            </w:pPr>
            <w:r>
              <w:rPr>
                <w:rFonts w:ascii="Times New Roman" w:hAnsi="Times New Roman" w:cs="Times New Roman" w:eastAsia="Times New Roman"/>
                <w:b w:val="false"/>
                <w:sz w:val="26"/>
              </w:rPr>
              <w:t>Nghị định 10/2021/NĐ-CP</w:t>
            </w:r>
          </w:p>
        </w:tc>
        <w:tc>
          <w:p/>
          <w:p>
            <w:pPr>
              <w:spacing w:after="0" w:before="0" w:lineRule="auto" w:line="276"/>
              <w:jc w:val="left"/>
            </w:pPr>
            <w:r>
              <w:rPr>
                <w:rFonts w:ascii="Times New Roman" w:hAnsi="Times New Roman" w:cs="Times New Roman" w:eastAsia="Times New Roman"/>
                <w:b w:val="false"/>
                <w:sz w:val="26"/>
              </w:rPr>
              <w:t>09-02-2021</w:t>
            </w:r>
          </w:p>
        </w:tc>
        <w:tc>
          <w:p/>
        </w:tc>
      </w:tr>
      <w:tr>
        <w:tc>
          <w:p/>
          <w:p>
            <w:pPr>
              <w:spacing w:after="0" w:before="0" w:lineRule="auto" w:line="276"/>
              <w:jc w:val="left"/>
            </w:pPr>
            <w:r>
              <w:rPr>
                <w:rFonts w:ascii="Times New Roman" w:hAnsi="Times New Roman" w:cs="Times New Roman" w:eastAsia="Times New Roman"/>
                <w:b w:val="false"/>
                <w:sz w:val="26"/>
              </w:rPr>
              <w:t>40/2019/NĐ-CP</w:t>
            </w:r>
          </w:p>
        </w:tc>
        <w:tc>
          <w:p/>
          <w:p>
            <w:pPr>
              <w:spacing w:after="0" w:before="0" w:lineRule="auto" w:line="276"/>
              <w:jc w:val="left"/>
            </w:pPr>
            <w:r>
              <w:rPr>
                <w:rFonts w:ascii="Times New Roman" w:hAnsi="Times New Roman" w:cs="Times New Roman" w:eastAsia="Times New Roman"/>
                <w:b w:val="false"/>
                <w:sz w:val="26"/>
              </w:rPr>
              <w:t>Nghị định 40/2019/NĐ-CP</w:t>
            </w:r>
          </w:p>
        </w:tc>
        <w:tc>
          <w:p/>
          <w:p>
            <w:pPr>
              <w:spacing w:after="0" w:before="0" w:lineRule="auto" w:line="276"/>
              <w:jc w:val="left"/>
            </w:pPr>
            <w:r>
              <w:rPr>
                <w:rFonts w:ascii="Times New Roman" w:hAnsi="Times New Roman" w:cs="Times New Roman" w:eastAsia="Times New Roman"/>
                <w:b w:val="false"/>
                <w:sz w:val="26"/>
              </w:rPr>
              <w:t>13-05-2019</w:t>
            </w:r>
          </w:p>
        </w:tc>
        <w:tc>
          <w:p/>
        </w:tc>
      </w:tr>
      <w:tr>
        <w:tc>
          <w:p/>
          <w:p>
            <w:pPr>
              <w:spacing w:after="0" w:before="0" w:lineRule="auto" w:line="276"/>
              <w:jc w:val="left"/>
            </w:pPr>
            <w:r>
              <w:rPr>
                <w:rFonts w:ascii="Times New Roman" w:hAnsi="Times New Roman" w:cs="Times New Roman" w:eastAsia="Times New Roman"/>
                <w:b w:val="false"/>
                <w:sz w:val="26"/>
              </w:rPr>
              <w:t>32/2021/QĐ-UBND</w:t>
            </w:r>
          </w:p>
        </w:tc>
        <w:tc>
          <w:p/>
          <w:p>
            <w:pPr>
              <w:spacing w:after="0" w:before="0" w:lineRule="auto" w:line="276"/>
              <w:jc w:val="left"/>
            </w:pPr>
            <w:r>
              <w:rPr>
                <w:rFonts w:ascii="Times New Roman" w:hAnsi="Times New Roman" w:cs="Times New Roman" w:eastAsia="Times New Roman"/>
                <w:b w:val="false"/>
                <w:sz w:val="26"/>
              </w:rPr>
              <w:t>Quyết định 32/2021/QĐ-UBND của Ủy ban nhân dân Thành phố Đà Nẵng về việc ban hành Quy định một số nội dung về quản lý đầu tư và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29-10-2021</w:t>
            </w:r>
          </w:p>
        </w:tc>
        <w:tc>
          <w:p/>
          <w:p>
            <w:pPr>
              <w:spacing w:after="0" w:before="0" w:lineRule="auto" w:line="276"/>
              <w:jc w:val="left"/>
            </w:pPr>
            <w:r>
              <w:rPr>
                <w:rFonts w:ascii="Times New Roman" w:hAnsi="Times New Roman" w:cs="Times New Roman" w:eastAsia="Times New Roman"/>
                <w:b w:val="false"/>
                <w:sz w:val="26"/>
              </w:rPr>
              <w:t>UBND Thành phố Đà Nẵng</w:t>
            </w:r>
          </w:p>
        </w:tc>
      </w:tr>
      <w:tr>
        <w:tc>
          <w:p/>
          <w:p>
            <w:pPr>
              <w:spacing w:after="0" w:before="0" w:lineRule="auto" w:line="276"/>
              <w:jc w:val="left"/>
            </w:pPr>
            <w:r>
              <w:rPr>
                <w:rFonts w:ascii="Times New Roman" w:hAnsi="Times New Roman" w:cs="Times New Roman" w:eastAsia="Times New Roman"/>
                <w:b w:val="false"/>
                <w:sz w:val="26"/>
              </w:rPr>
              <w:t>700/QĐ-BXD</w:t>
            </w:r>
          </w:p>
        </w:tc>
        <w:tc>
          <w:p/>
          <w:p>
            <w:pPr>
              <w:spacing w:after="0" w:before="0" w:lineRule="auto" w:line="276"/>
              <w:jc w:val="left"/>
            </w:pPr>
            <w:r>
              <w:rPr>
                <w:rFonts w:ascii="Times New Roman" w:hAnsi="Times New Roman" w:cs="Times New Roman" w:eastAsia="Times New Roman"/>
                <w:b w:val="false"/>
                <w:sz w:val="26"/>
              </w:rPr>
              <w:t>Quyết định số 700/QĐ-BXD ngày 08/6/2021 của Bộ trưởng Bộ Xây dựng về việc công bố thủ tục hành chính ban hành mới; Thủ tục hành chính được thay thế; Thủ tục hành chính bị bãi bỏ trong lĩnh vực hoạt động xây dựng thuộc phạm vi chức năng quản lý nhà nước của Bộ Xây dựng.</w:t>
            </w:r>
          </w:p>
        </w:tc>
        <w:tc>
          <w:p/>
          <w:p>
            <w:pPr>
              <w:spacing w:after="0" w:before="0" w:lineRule="auto" w:line="276"/>
              <w:jc w:val="left"/>
            </w:pPr>
            <w:r>
              <w:rPr>
                <w:rFonts w:ascii="Times New Roman" w:hAnsi="Times New Roman" w:cs="Times New Roman" w:eastAsia="Times New Roman"/>
                <w:b w:val="false"/>
                <w:sz w:val="26"/>
              </w:rPr>
              <w:t>08-06-2021</w:t>
            </w:r>
          </w:p>
        </w:tc>
        <w:tc>
          <w:p/>
        </w:tc>
      </w:tr>
      <w:tr>
        <w:tc>
          <w:p/>
          <w:p>
            <w:pPr>
              <w:spacing w:after="0" w:before="0" w:lineRule="auto" w:line="276"/>
              <w:jc w:val="left"/>
            </w:pPr>
            <w:r>
              <w:rPr>
                <w:rFonts w:ascii="Times New Roman" w:hAnsi="Times New Roman" w:cs="Times New Roman" w:eastAsia="Times New Roman"/>
                <w:b w:val="false"/>
                <w:sz w:val="26"/>
              </w:rPr>
              <w:t>25/2019/TT-BTNMT</w:t>
            </w:r>
          </w:p>
        </w:tc>
        <w:tc>
          <w:p/>
          <w:p>
            <w:pPr>
              <w:spacing w:after="0" w:before="0" w:lineRule="auto" w:line="276"/>
              <w:jc w:val="left"/>
            </w:pPr>
            <w:r>
              <w:rPr>
                <w:rFonts w:ascii="Times New Roman" w:hAnsi="Times New Roman" w:cs="Times New Roman" w:eastAsia="Times New Roman"/>
                <w:b w:val="false"/>
                <w:sz w:val="26"/>
              </w:rPr>
              <w:t>Thông tư 25/2019/BTNMT ngày 31/12/2019 của Bộ trưởng Bộ Tài nguyên và Môi trường Quy định chi tiết thi hành một số điều của nghị định số 40/2019/NĐ-CP ngày 13/5/2019 của Chính phủ sửa đổi, bổ sung một số điều của các nghị định quy định chi tiết, hướng dẫn thi hành luật bảo vệ môi trường và quy định quản lý hoạt động dịch vụ quan trắc môi trường;</w:t>
            </w:r>
          </w:p>
        </w:tc>
        <w:tc>
          <w:p/>
          <w:p>
            <w:pPr>
              <w:spacing w:after="0" w:before="0" w:lineRule="auto" w:line="276"/>
              <w:jc w:val="left"/>
            </w:pPr>
            <w:r>
              <w:rPr>
                <w:rFonts w:ascii="Times New Roman" w:hAnsi="Times New Roman" w:cs="Times New Roman" w:eastAsia="Times New Roman"/>
                <w:b w:val="false"/>
                <w:sz w:val="26"/>
              </w:rPr>
              <w:t>31-12-2019</w:t>
            </w:r>
          </w:p>
        </w:tc>
        <w:tc>
          <w:p/>
        </w:tc>
      </w:tr>
      <w:tr>
        <w:tc>
          <w:p/>
          <w:p>
            <w:pPr>
              <w:spacing w:after="0" w:before="0" w:lineRule="auto" w:line="276"/>
              <w:jc w:val="left"/>
            </w:pPr>
            <w:r>
              <w:rPr>
                <w:rFonts w:ascii="Times New Roman" w:hAnsi="Times New Roman" w:cs="Times New Roman" w:eastAsia="Times New Roman"/>
                <w:b w:val="false"/>
                <w:sz w:val="26"/>
              </w:rPr>
              <w:t>11/2021/TT-BXD</w:t>
            </w:r>
          </w:p>
        </w:tc>
        <w:tc>
          <w:p/>
          <w:p>
            <w:pPr>
              <w:spacing w:after="0" w:before="0" w:lineRule="auto" w:line="276"/>
              <w:jc w:val="left"/>
            </w:pPr>
            <w:r>
              <w:rPr>
                <w:rFonts w:ascii="Times New Roman" w:hAnsi="Times New Roman" w:cs="Times New Roman" w:eastAsia="Times New Roman"/>
                <w:b w:val="false"/>
                <w:sz w:val="26"/>
              </w:rPr>
              <w:t>Thông tư số 11/2021/TT-BXD ngày 31/8/2021 của Bộ trưởng Bộ Xây dựng hướng dẫn một số nội dung xác định và quản lý chi phí đầu tư xây dựng;</w:t>
            </w:r>
          </w:p>
        </w:tc>
        <w:tc>
          <w:p/>
          <w:p>
            <w:pPr>
              <w:spacing w:after="0" w:before="0" w:lineRule="auto" w:line="276"/>
              <w:jc w:val="left"/>
            </w:pPr>
            <w:r>
              <w:rPr>
                <w:rFonts w:ascii="Times New Roman" w:hAnsi="Times New Roman" w:cs="Times New Roman" w:eastAsia="Times New Roman"/>
                <w:b w:val="false"/>
                <w:sz w:val="26"/>
              </w:rPr>
              <w:t>31-08-2021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công trình thuộc thẩm quyền thẩm định của Sở Giao thông vận tải.
2. Hồ sơ trình thẩm định phải bảo đảm tính pháp lý, phù hợp với nội dung đề nghị thẩm định. Tờ trình được lập theo mẫu quy định và đầy đủ các thành phần bắt buộc theo quy định tại mục 4.3; Hồ sơ trình thẩm định đúng quy cách,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
3. Hồ sơ có bì đựng, phía ngoài ghi rõ tên công trình, hạng mục, phải có danh mục hồ sơ (đối với hồ sơ nộp trực tiếp).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2026-05-20T05:19:59Z</dcterms:created>
  <dc:creator>Apache POI</dc:creator>
</cp:coreProperties>
</file>