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Xử lý xóa nợ bị rủi ro do nguyên nhân khách quan đối với các khoản nợ bị chiếm dụng mà người chiếm dụng chết, mất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khách hàng không phải làm Đơn đề nghị xử lý nợ (mẫu số 01/XLN).</w:t>
      </w:r>
    </w:p>
    <w:p>
      <w:pPr>
        <w:spacing w:after="0" w:before="0" w:lineRule="auto" w:line="276"/>
        <w:jc w:val="both"/>
      </w:pPr>
      <w:r>
        <w:rPr>
          <w:rFonts w:ascii="Times New Roman" w:hAnsi="Times New Roman" w:cs="Times New Roman" w:eastAsia="Times New Roman"/>
          <w:b w:val="false"/>
          <w:sz w:val="26"/>
        </w:rPr>
        <w:t>Bước 2. NHCSXH nơi thực hiện thủ tục
- Phối hợp với cá nhân, tổ chức có liên quan tiến hành thẩm tra, lập Biên bản đề nghị xử lý nợ bị rủi ro (mẫu số 02/XLN);
- Tổng hợp hồ sơ pháp lý và lập biểu tổng hợp đề nghị xóa nợ gửi NHCSXH cấp tỉnh.</w:t>
      </w:r>
    </w:p>
    <w:p>
      <w:pPr>
        <w:spacing w:after="0" w:before="0" w:lineRule="auto" w:line="276"/>
        <w:jc w:val="both"/>
      </w:pPr>
      <w:r>
        <w:rPr>
          <w:rFonts w:ascii="Times New Roman" w:hAnsi="Times New Roman" w:cs="Times New Roman" w:eastAsia="Times New Roman"/>
          <w:b w:val="false"/>
          <w:sz w:val="26"/>
        </w:rPr>
        <w:t>Bước 3. NHCSXH cấp tỉnh, thẩm định, kiểm tra, kiểm soát hồ sơ pháp lý do Ngân hàng nơi cho vay trình, tổng hợp các khoản đề nghị xóa nợ của chi nhánh gửi Hội sở chính để kiểm tra. Tại Hội sở chính lập biểu tổng hợp trình Hội đồng quản trị NHCSXH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gửi hồ sơ đến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đề nghị xử lý nợ bị rủi ro (mẫu số 02/XLN):</w:t>
            </w:r>
          </w:p>
        </w:tc>
        <w:tc>
          <w:p/>
          <w:p>
            <w:pPr>
              <w:spacing w:after="0" w:before="0" w:lineRule="auto" w:line="276"/>
              <w:jc w:val="left"/>
            </w:pPr>
            <w:r>
              <w:rPr>
                <w:rFonts w:ascii="Times New Roman" w:hAnsi="Times New Roman" w:cs="Times New Roman" w:eastAsia="Times New Roman"/>
                <w:b w:val="false"/>
                <w:sz w:val="26"/>
              </w:rPr>
              <w:t>Mau so 02XLN.doc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nhận nợ (Hợp đồng vay vốn/sổ vay vốn hoặc các giấy tờ nhận nợ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giấy chứng tử hoặc Quyết định tuyên bố chết, mất tích của Tòa án, kèm theo bộ hồ sơ đầy đủ về chứng cứ, chứng minh số tiền đã chiếm dụng có xác nhận của chính quyền cấp xã đối với trường hợp khoản nợ bị chiếm dụng mà người chiếm dụng chết, mất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Xã, Các tổ chức chính trị - xã hội, Ủy ban nhân dân xã,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Chủ tịch Hội đồng quản trị NHCSXH thay mặt Hội đồng quản trị NHCSXH ký Quyết định xóa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50/2010/QĐ-TTg</w:t>
            </w:r>
          </w:p>
        </w:tc>
        <w:tc>
          <w:p/>
          <w:p>
            <w:pPr>
              <w:spacing w:after="0" w:before="0" w:lineRule="auto" w:line="276"/>
              <w:jc w:val="left"/>
            </w:pPr>
            <w:r>
              <w:rPr>
                <w:rFonts w:ascii="Times New Roman" w:hAnsi="Times New Roman" w:cs="Times New Roman" w:eastAsia="Times New Roman"/>
                <w:b w:val="false"/>
                <w:sz w:val="26"/>
              </w:rPr>
              <w:t>50/2010/QĐ-TTg	</w:t>
            </w:r>
          </w:p>
        </w:tc>
        <w:tc>
          <w:p/>
          <w:p>
            <w:pPr>
              <w:spacing w:after="0" w:before="0" w:lineRule="auto" w:line="276"/>
              <w:jc w:val="left"/>
            </w:pPr>
            <w:r>
              <w:rPr>
                <w:rFonts w:ascii="Times New Roman" w:hAnsi="Times New Roman" w:cs="Times New Roman" w:eastAsia="Times New Roman"/>
                <w:b w:val="false"/>
                <w:sz w:val="26"/>
              </w:rPr>
              <w:t>28-07-2010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tc>
      </w:tr>
      <w:tr>
        <w:tc>
          <w:p/>
          <w:p>
            <w:pPr>
              <w:spacing w:after="0" w:before="0" w:lineRule="auto" w:line="276"/>
              <w:jc w:val="left"/>
            </w:pPr>
            <w:r>
              <w:rPr>
                <w:rFonts w:ascii="Times New Roman" w:hAnsi="Times New Roman" w:cs="Times New Roman" w:eastAsia="Times New Roman"/>
                <w:b w:val="false"/>
                <w:sz w:val="26"/>
              </w:rPr>
              <w:t>62/QĐ-HĐQT</w:t>
            </w:r>
          </w:p>
        </w:tc>
        <w:tc>
          <w:p/>
          <w:p>
            <w:pPr>
              <w:spacing w:after="0" w:before="0" w:lineRule="auto" w:line="276"/>
              <w:jc w:val="left"/>
            </w:pPr>
            <w:r>
              <w:rPr>
                <w:rFonts w:ascii="Times New Roman" w:hAnsi="Times New Roman" w:cs="Times New Roman" w:eastAsia="Times New Roman"/>
                <w:b w:val="false"/>
                <w:sz w:val="26"/>
              </w:rPr>
              <w:t>Quy định xử lý nợ rủi ro trong hệ thống NHCSXH</w:t>
            </w:r>
          </w:p>
        </w:tc>
        <w:tc>
          <w:p/>
          <w:p>
            <w:pPr>
              <w:spacing w:after="0" w:before="0" w:lineRule="auto" w:line="276"/>
              <w:jc w:val="left"/>
            </w:pPr>
            <w:r>
              <w:rPr>
                <w:rFonts w:ascii="Times New Roman" w:hAnsi="Times New Roman" w:cs="Times New Roman" w:eastAsia="Times New Roman"/>
                <w:b w:val="false"/>
                <w:sz w:val="26"/>
              </w:rPr>
              <w:t>13-10-2021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08/2021/QĐ-TTg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chế xử lý nợ bị rủi ro tại NHCSXH ban hành kèm theo Quyết định số 50/2010/QĐ-TTg ngày 28/07/2010 của Thủ tướng Chính phủ;</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chiếm dụng chết, mất tích và không còn tài sản để trả nợ.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2026-05-11T15:47:38Z</dcterms:created>
  <dc:creator>Apache POI</dc:creator>
</cp:coreProperties>
</file>