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1.010737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418/QĐ-BNNMT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Chấp thuận đăng ký vận chuyển xuyên biên giới chất thải nguy hại theo Công ước Basel về kiểm soát vận chuyển xuyên biên giới chất thải nguy hại và việc tiêu hủy chúng (thay thế - cấp Bộ) (1.010737)</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Môi trường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chức/cá nhân nộp hồ sơ đến Cơ quan thẩm quyền Công ước Basel tại Việt Nam trực thuộc Bộ Nông nghiệp và Môi trường (Cơ quan thẩm quyền) thông qua một trong các hình thức sau:
+ Trực tiếp tại Bộ phận Một cửa của Bộ Nông nghiệp và Môi trường (Số 10 Tôn Thất Thuyết, phường Cầu Giấy, thành phố Hà Nội);
+ Thông qua dịch vụ bưu chính;
+ Thông qua Cổng dịch vụ công quốc gia (https://dichvucong.gov.vn).
Bước 2: Tiếp nhận hồ sơ 
Cơ quan thẩm quyền kiểm tra tính đầy đủ và hợp lệ của hồ sơ theo quy định của pháp luật, trường hợp hồ sơ chưa đầy đủ, chưa hợp lệ thì từ chối tiếp nhận; trường hợp hồ sơ đã bảo đảm tính đầy đủ, hợp lệ thì thực hiện tiếp nhận, hẹn trả kết quả tới tổ chức/cá nhân.
Bước 3: Thẩm định hồ sơ
- Cơ quan thẩm quyền thẩm định hồ sơ sau khi nhận được hồ sơ đầy đủ, hợp lệ. 
- Cơ quan thẩm quyền gửi Văn bản thông báo (kèm theo thông báo vận chuyển bằng tiếng Anh) về việc xuất khẩu chất thải nguy hại (CTNH) của tổ chức, cá nhân đăng ký đến Cơ quan thẩm quyền Công ước Basel của quốc gia nhập khẩu và quốc gia quá cảnh (nếu có) theo quy định của Công ước Basel. 
- Trường hợp nhận được Văn bản chấp thuận của Cơ quan thẩm quyền Công ước Basel của quốc gia nhập khẩu và quốc gia quá cảnh (nếu có), Cơ quan thẩm quyền ban hành Văn bản chấp thuận xuất khẩu CTNH gửi tổ chức, cá nhân đăng ký.
- Trường hợp nhận được Văn bản không chấp thuận của Cơ quan thẩm quyền Công ước Basel của quốc gia nhập khẩu hoặc quốc gia quá cảnh (nếu có), Cơ quan thẩm quyền ban hành Văn bản không chấp thuận gửi tổ chức, cá nhân và nêu rõ lý do không chấp thuận.
Bước 4. Trả kết quả
Cơ quan thẩm quyền ban hành Văn bản chấp thuận hoặc Văn bản không chấp thuận (trong trường hợp không đủ điều kiện cấp giấy phép môi trường).
Tổ chức, cá nhân nhận kết quả giải quyết thủ tục hành chính trực tiếp tại Bộ phận Một cửa của Bộ Nông nghiệp và Môi trường (địa chỉ số 10 Tôn Thất Thuyết, phường Cầu Giấy, thành phố Hà Nội) hoặc Cổng dịch vụ công quốc gia (https://dichvucong.gov.vn).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Xem mô tả chi tiết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gửi văn bản thông báo đến Cơ quan thẩm quyền Công ước Basel của quốc gia nhập khẩu và quốc gia quá cảnh (nếu có): tối đa 10 (mười) ngày làm việc kể từ ngày nhận được hồ sơ đầy đủ, hợp lệ. 
- Thời hạn trả kết quả: tối đa 10 (mười) ngày làm việc kể từ khi nhận được văn bản trả lời của tất cả các Cơ quan thẩm quyền Công ước Basel của quốc gia nhập khẩu và quốc gia quá cảnh (nếu có). 
Thời gian trả lời của quốc gia nhập khẩu và quá cảnh (nếu có) đối với văn bản thông báo về việc xuất khẩu CTNH và thời gian tổ chức, cá nhân chỉnh sửa, bổ sung hồ sơ không tính vào thời gian giải quyết thủ tục hành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Xem mô tả chi tiết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gửi văn bản thông báo đến Cơ quan thẩm quyền Công ước Basel của quốc gia nhập khẩu và quốc gia quá cảnh (nếu có): tối đa 10 (mười) ngày làm việc kể từ ngày nhận được hồ sơ đầy đủ, hợp lệ. 
- Thời hạn trả kết quả: tối đa 10 (mười) ngày làm việc kể từ khi nhận được văn bản trả lời của tất cả các Cơ quan thẩm quyền Công ước Basel của quốc gia nhập khẩu và quốc gia quá cảnh (nếu có). 
Thời gian trả lời của quốc gia nhập khẩu và quá cảnh (nếu có) đối với văn bản thông báo về việc xuất khẩu CTNH và thời gian tổ chức, cá nhân chỉnh sửa, bổ sung hồ sơ không tính vào thời gian giải quyết thủ tục hành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Xem mô tả chi tiết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gửi văn bản thông báo đến Cơ quan thẩm quyền Công ước Basel của quốc gia nhập khẩu và quốc gia quá cảnh (nếu có): tối đa 10 (mười) ngày làm việc kể từ ngày nhận được hồ sơ đầy đủ, hợp lệ. 
- Thời hạn trả kết quả: tối đa 10 (mười) ngày làm việc kể từ khi nhận được văn bản trả lời của tất cả các Cơ quan thẩm quyền Công ước Basel của quốc gia nhập khẩu và quốc gia quá cảnh (nếu có). 
Thời gian trả lời của quốc gia nhập khẩu và quá cảnh (nếu có) đối với văn bản thông báo về việc xuất khẩu CTNH và thời gian tổ chức, cá nhân chỉnh sửa, bổ sung hồ sơ không tính vào thời gian giải quyết thủ tục hành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- 01 bản chính Đơn đăng ký vận chuyển xuyên biên giới chất thải nguy hại: mẫu quy định tại Mẫu số 05 Phụ lục III ban hành kèm theo Thông tư số 02/2022/TT-BTNMT;</w:t>
            </w:r>
          </w:p>
        </w:tc>
        <w:tc>
          <w:p/>
          <w:p>
            <w:pPr>
              <w:spacing w:after="0" w:before="0" w:lineRule="auto" w:line="276"/>
              <w:jc w:val="left"/>
            </w:pPr>
            <w:r>
              <w:rPr>
                <w:rFonts w:ascii="Times New Roman" w:hAnsi="Times New Roman" w:cs="Times New Roman" w:eastAsia="Times New Roman"/>
                <w:b w:val="false"/>
                <w:sz w:val="26"/>
              </w:rPr>
              <w:t>Mau05VCCT.doc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đồng xử lý CTNH với đơn vị xử lý CTNH tại quốc gia nhập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hợp đồng ký với chủ nguồn thải CTNH trong trường hợp chủ nguồn thải ủy quyền cho nhà xuất khẩu đại diện đăng ký và thực hiện thủ tục vận chuyển xuyên biên giới CTNH;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hợp đồng ký với đơn vị đăng ký bảo hiểm cho lô hàng CTNH vận chuyển xuyên biên giới;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Thông báo vận chuyển bằng tiếng Anh thực hiện theo mẫu quy định của Công ước Basel tại địa chỉ: http://www.basel.int/Portals/4/Basel%20Convention/docs/techmatters/forms-notif-mov/vCOP8.doc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 Tổ chức Đảng, Đảng viên</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Nông nghiệp và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Tổ chức/cá nhân (chủ dự án đầu tư, cơ sở) lựa chọn nộp hồ sơ thông qua một trong các hình thức sau: + Trực tiếp tại Văn phòng Một cửa tại trụ sở Bộ Nông nghiệp và Môi trường (địa chỉ số 10 Tôn Thất Thuyết, phường Cầu Giấy, Hà Nội); + Thông qua dịch vụ bưu chính công ích; qua dịch vụ bưu chính chuyển phát của tổ chức, cá nhân hoặc qua ủy quyền thực hiện TTHC theo quy định của pháp luật; + Trực tuyến: thông qua Cổng dịch vụ công quốc gia tại địa chỉ https://dichvucong.gov.vn hoặc Ứng dụng định danh quốc gia.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vận chuyển xuyên biên giới CTNH., Văn bản thông báo trả hồ sơ cho tổ chức, cá nhân và nêu rõ lý do trong trường hợp không đủ điều kiện được xuất khẩu CTNH.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72/2020/QH14</w:t>
            </w:r>
          </w:p>
        </w:tc>
        <w:tc>
          <w:p/>
          <w:p>
            <w:pPr>
              <w:spacing w:after="0" w:before="0" w:lineRule="auto" w:line="276"/>
              <w:jc w:val="left"/>
            </w:pPr>
            <w:r>
              <w:rPr>
                <w:rFonts w:ascii="Times New Roman" w:hAnsi="Times New Roman" w:cs="Times New Roman" w:eastAsia="Times New Roman"/>
                <w:b w:val="false"/>
                <w:sz w:val="26"/>
              </w:rPr>
              <w:t>Luật Bảo vệ môi trường số 72/2020/QH14 ngày 17 tháng 11 năm 2020</w:t>
            </w:r>
          </w:p>
        </w:tc>
        <w:tc>
          <w:p/>
          <w:p>
            <w:pPr>
              <w:spacing w:after="0" w:before="0" w:lineRule="auto" w:line="276"/>
              <w:jc w:val="left"/>
            </w:pPr>
            <w:r>
              <w:rPr>
                <w:rFonts w:ascii="Times New Roman" w:hAnsi="Times New Roman" w:cs="Times New Roman" w:eastAsia="Times New Roman"/>
                <w:b w:val="false"/>
                <w:sz w:val="26"/>
              </w:rPr>
              <w:t>17-11-2020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02/2022/TT-BTNMT</w:t>
            </w:r>
          </w:p>
        </w:tc>
        <w:tc>
          <w:p/>
          <w:p>
            <w:pPr>
              <w:spacing w:after="0" w:before="0" w:lineRule="auto" w:line="276"/>
              <w:jc w:val="left"/>
            </w:pPr>
            <w:r>
              <w:rPr>
                <w:rFonts w:ascii="Times New Roman" w:hAnsi="Times New Roman" w:cs="Times New Roman" w:eastAsia="Times New Roman"/>
                <w:b w:val="false"/>
                <w:sz w:val="26"/>
              </w:rPr>
              <w:t>Thông tư số 02/2022/TT-BTNMT</w:t>
            </w:r>
          </w:p>
        </w:tc>
        <w:tc>
          <w:p/>
          <w:p>
            <w:pPr>
              <w:spacing w:after="0" w:before="0" w:lineRule="auto" w:line="276"/>
              <w:jc w:val="left"/>
            </w:pPr>
            <w:r>
              <w:rPr>
                <w:rFonts w:ascii="Times New Roman" w:hAnsi="Times New Roman" w:cs="Times New Roman" w:eastAsia="Times New Roman"/>
                <w:b w:val="false"/>
                <w:sz w:val="26"/>
              </w:rPr>
              <w:t>10-01-2022</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08/2022/NĐ-CP</w:t>
            </w:r>
          </w:p>
        </w:tc>
        <w:tc>
          <w:p/>
          <w:p>
            <w:pPr>
              <w:spacing w:after="0" w:before="0" w:lineRule="auto" w:line="276"/>
              <w:jc w:val="left"/>
            </w:pPr>
            <w:r>
              <w:rPr>
                <w:rFonts w:ascii="Times New Roman" w:hAnsi="Times New Roman" w:cs="Times New Roman" w:eastAsia="Times New Roman"/>
                <w:b w:val="false"/>
                <w:sz w:val="26"/>
              </w:rPr>
              <w:t>Nghị định số 08/2022/NĐ-CP ngày 10 tháng 01 năm 2022 của Chính phủ quy định chi tiết một số điều của Luật Bảo vệ môi trường;</w:t>
            </w:r>
          </w:p>
        </w:tc>
        <w:tc>
          <w:p/>
          <w:p>
            <w:pPr>
              <w:spacing w:after="0" w:before="0" w:lineRule="auto" w:line="276"/>
              <w:jc w:val="left"/>
            </w:pPr>
            <w:r>
              <w:rPr>
                <w:rFonts w:ascii="Times New Roman" w:hAnsi="Times New Roman" w:cs="Times New Roman" w:eastAsia="Times New Roman"/>
                <w:b w:val="false"/>
                <w:sz w:val="26"/>
              </w:rPr>
              <w:t>10-01-2022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05/2025/NĐ-CP</w:t>
            </w:r>
          </w:p>
        </w:tc>
        <w:tc>
          <w:p/>
          <w:p>
            <w:pPr>
              <w:spacing w:after="0" w:before="0" w:lineRule="auto" w:line="276"/>
              <w:jc w:val="left"/>
            </w:pPr>
            <w:r>
              <w:rPr>
                <w:rFonts w:ascii="Times New Roman" w:hAnsi="Times New Roman" w:cs="Times New Roman" w:eastAsia="Times New Roman"/>
                <w:b w:val="false"/>
                <w:sz w:val="26"/>
              </w:rPr>
              <w:t>Nghị định số 05/2025/NĐ-CP</w:t>
            </w:r>
          </w:p>
        </w:tc>
        <w:tc>
          <w:p/>
          <w:p>
            <w:pPr>
              <w:spacing w:after="0" w:before="0" w:lineRule="auto" w:line="276"/>
              <w:jc w:val="left"/>
            </w:pPr>
            <w:r>
              <w:rPr>
                <w:rFonts w:ascii="Times New Roman" w:hAnsi="Times New Roman" w:cs="Times New Roman" w:eastAsia="Times New Roman"/>
                <w:b w:val="false"/>
                <w:sz w:val="26"/>
              </w:rPr>
              <w:t>06-01-2025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146/2025/QH15</w:t>
            </w:r>
          </w:p>
        </w:tc>
        <w:tc>
          <w:p/>
          <w:p>
            <w:pPr>
              <w:spacing w:after="0" w:before="0" w:lineRule="auto" w:line="276"/>
              <w:jc w:val="left"/>
            </w:pPr>
            <w:r>
              <w:rPr>
                <w:rFonts w:ascii="Times New Roman" w:hAnsi="Times New Roman" w:cs="Times New Roman" w:eastAsia="Times New Roman"/>
                <w:b w:val="false"/>
                <w:sz w:val="26"/>
              </w:rPr>
              <w:t>Luật số 146/2025/QH15 ngày 11/12/2025 của Quốc hội sửa đổi, bổ sung một số điều của 15 luật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11-12-2025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48/2026/NĐ-CP</w:t>
            </w:r>
          </w:p>
        </w:tc>
        <w:tc>
          <w:p/>
          <w:p>
            <w:pPr>
              <w:spacing w:after="0" w:before="0" w:lineRule="auto" w:line="276"/>
              <w:jc w:val="left"/>
            </w:pPr>
            <w:r>
              <w:rPr>
                <w:rFonts w:ascii="Times New Roman" w:hAnsi="Times New Roman" w:cs="Times New Roman" w:eastAsia="Times New Roman"/>
                <w:b w:val="false"/>
                <w:sz w:val="26"/>
              </w:rPr>
              <w:t>Nghị định số 48/2026/NĐ-CP ngày 29 tháng 01 năm 2026 của Chính phủ sửa đổi, bổ sung một số điều của 08/2022/NĐ-CP ngày 10 tháng 01 năm 2022 của Chính phủ quy định chi tiết một số điều của Luật Bảo vệ môi trường sửa đổi, bổ sung bởi Nghị định số 05/2025/NĐ-CP ngày 06 tháng 01 năm 2025</w:t>
            </w:r>
          </w:p>
        </w:tc>
        <w:tc>
          <w:p/>
          <w:p>
            <w:pPr>
              <w:spacing w:after="0" w:before="0" w:lineRule="auto" w:line="276"/>
              <w:jc w:val="left"/>
            </w:pPr>
            <w:r>
              <w:rPr>
                <w:rFonts w:ascii="Times New Roman" w:hAnsi="Times New Roman" w:cs="Times New Roman" w:eastAsia="Times New Roman"/>
                <w:b w:val="false"/>
                <w:sz w:val="26"/>
              </w:rPr>
              <w:t>29-01-2026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09/2026/TT-BNNMT</w:t>
            </w:r>
          </w:p>
        </w:tc>
        <w:tc>
          <w:p/>
          <w:p>
            <w:pPr>
              <w:spacing w:after="0" w:before="0" w:lineRule="auto" w:line="276"/>
              <w:jc w:val="left"/>
            </w:pPr>
            <w:r>
              <w:rPr>
                <w:rFonts w:ascii="Times New Roman" w:hAnsi="Times New Roman" w:cs="Times New Roman" w:eastAsia="Times New Roman"/>
                <w:b w:val="false"/>
                <w:sz w:val="26"/>
              </w:rPr>
              <w:t>Thông tư số 09/2026/TT-BNNMT ngày 29 tháng 01 năm 2026 của Bộ trưởng Bộ Nông nghiệp và Môi trường Sửa đổi, bổ sung một số điều của Thông tư số 02/2022/TT-BTNMT ngày 10 tháng 01 năm 2022 của Bộ trưởng Bộ Tài nguyên và Môi trường quy định chi tiết thi hành một số điều của Luật Bảo vệ môi trường được sửa đổi, bổ sung bởi Thông tư số 07/2025/TT-BTNMT ngày 28 tháng 02 năm 2025 và Thông tư số 07/2025/TT-BNNMT ngày 16 tháng 6 năm 2025.</w:t>
            </w:r>
          </w:p>
        </w:tc>
        <w:tc>
          <w:p/>
          <w:p>
            <w:pPr>
              <w:spacing w:after="0" w:before="0" w:lineRule="auto" w:line="276"/>
              <w:jc w:val="left"/>
            </w:pPr>
            <w:r>
              <w:rPr>
                <w:rFonts w:ascii="Times New Roman" w:hAnsi="Times New Roman" w:cs="Times New Roman" w:eastAsia="Times New Roman"/>
                <w:b w:val="false"/>
                <w:sz w:val="26"/>
              </w:rPr>
              <w:t>29-01-2026</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Chấp thuận đăng ký vận chuyển xuyên biên giới chất thải nguy hại theo Công ước Basel về kiểm soát vận chuyển xuyên biên giới chất thải nguy hại và việc tiêu hủy chúng (thay thế - cấp Bộ) (1.010737)</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2026-05-01T01:34:57Z</dcterms:created>
  <dc:creator>Apache POI</dc:creator>
</cp:coreProperties>
</file>