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2.002472</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418/QĐ-BNNMT</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Chấp thuận liên kết, chuyển giao chất thải nguy hại không có trong giấy phép môi trường (thay thế - cấp Bộ) (2.002472)</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Bộ</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Môi trường</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Nộp hồ sơ
- Tổ chức/cá nhân (chủ dự án đầu tư, cơ sở) lựa chọn nộp hồ sơ thông qua một trong các hình thức sau:
+ Trực tiếp tại Văn phòng Một cửa tại trụ sở Bộ Nông nghiệp và Môi trường (địa chỉ số 10 Tôn Thất Thuyết, phường Mỹ Đình 2, quận Nam Từ Liêm, Hà Nội);
+ Thông qua dịch vụ bưu chính công ích; qua dịch vụ bưu chính chuyển phát của tổ chức, cá nhân hoặc qua ủy quyền thực hiện TTHC theo quy định của pháp luật;
+ Trực tuyến tại Cổng Dịch vụ công trực tuyến của Bộ Nông nghiệp và Môi trường (địa chỉ: https://dichvucong.mae.gov.vn) hoặc Cổng dịch vụ công quốc gia (địa chỉ https://dichvucong.gov.vn).
 - Đối với các dự án đầu tư thuộc bí mật nhà nước về quốc phòng, an ninh: nộp hồ sơ theo quy định của Bộ Quốc phòng, Bộ Công an.
Bước 2: Tiếp nhận hồ sơ 
Cơ quan thẩm định kiểm tra tính đầy đủ và hợp lệ của hồ sơ theo quy định của pháp luật, trường hợp hồ sơ chưa đầy đủ, chưa hợp lệ thì từ chối tiếp nhận; trường hợp hồ sơ đã bảo đảm tính đầy đủ, hợp lệ thì thực hiện tiếp nhận và gửi giấy tiếp nhận hồ sơ và hẹn trả kết quả quả tới tổ chức/cá nhân.
Bước 3: Thẩm định hồ sơ
Thẩm định hồ sơ sau khi nhận hồ sơ đầy đủ, hợp lệ 
Xem xét văn bản đề nghị và hợp đồng liên kết giữa 02 tổ chức, cá nhân với điều kiện bên nhận chuyển giao chất thải nguy hại phải trực tiếp xử lý chất thải nguy hại, không được chuyển giao tiếp chất thải nguy hại cho bên thứ ba để xử lý. Bên nhận chuyển giao chất thải nguy hại từ chủ nguồn thải trong trường hợp có hợp đồng liên kết xử lý chất thải nguy hại theo quy định tại khoản 1 Điều 73 Nghị định số 08/2022/NĐ-CP phải xử lý được ít nhất một loại chất thải nguy hại đã tiếp nhận và phải được sự đồng ý bằng văn bản của chủ nguồn thải hoặc có hợp đồng ba bên về việc liên kết thu gom, vận chuyển và xử lý chất thải nguy hại.
Bước 4. Phê duyệt 
- Cơ quan thẩm định ban hành văn bản chấp thuận liên kết, chuyển giao chất thải nguy hại không có trong giấy phép môi trường hoặc thông báo không chấp thuận (trong đó nêu rõ lý do kèm các nội dung yêu cầu bổ sung, làm rõ) trong trường hợp hồ sơ chưa được chỉnh sửa, bổ sung đầy đủ theo quy định.
- Cơ quan thẩm định có trách nhiệm công khai trên cổng thông tin điện tử văn bản chấp thuận liên kết, chuyển giao chất thải nguy hại không có trong giấy phép môi trường của tổ chức, cá nhân, trừ các thông tin thuộc bí mật nhà nước, bí mật của doanh nghiệp theo quy định của pháp luật.
Bước 5. Trả kết quả
Tổ chức, cá nhân nhận kết quả giải quyết TTHC theo thời gian, địa điểm ghi trên giấy tiếp nhận hồ sơ và hẹn trả kết quả trực tiếp tại Văn phòng Một cửa tại trụ sở Bộ Nông nghiệp và Môi trường (địa chỉ số 10 Tôn Thất Thuyết, phường Mỹ Đình 2, quận Nam Từ Liêm, Hà Nội). Trường hợp đăng ký nhận kết quả trực tuyến thì thông qua Cổng Dịch vụ công trực tuyến của Bộ Nông nghiệp và Môi trường (địa chỉ: https://dichvucong.mae.gov.vn) hoặc Cổng dịch vụ công quốc gia (địa chỉ https://dichvucong.gov.vn).</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15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tối đa 15 (mười lăm) ngày kể từ ngày nhận được hồ sơ đầy đủ, hợp lệ.</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15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tối đa 15 (mười lăm) ngày kể từ ngày nhận được hồ sơ đầy đủ, hợp lệ.</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15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tối đa 15 (mười lăm) ngày kể từ ngày nhận được hồ sơ đầy đủ, hợp lệ.</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Văn bản đề nghị của tổ chức, cá nhân có nhu cầu</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Hợp đồng liên kết</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Việt Nam định cư ở nước ngoài, Người nước ngoài, Cán bộ, công chức, viên chức, Doanh nghiệp, Doanh nghiệp có vốn đầu tư nước ngoài, Tổ chức (không bao gồm doanh nghiệp, HTX), Tổ chức nước ngoài, Hợp tác xã</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Bộ Nông nghiệp và Môi trường</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Bộ Nông nghiệp và Môi trường</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Trực tiếp tại Văn phòng Một cửa tại trụ sở Bộ Nông nghiệp và Môi trường (địa chỉ số 10 Tôn Thất Thuyết, phường Mỹ Đình 2, quận Nam Từ Liêm, Hà Nội); + Thông qua dịch vụ bưu chính công ích; qua dịch vụ bưu chính chuyển phát của tổ chức, cá nhân hoặc qua ủy quyền thực hiện TTHC theo quy định của pháp luật; + Trực tuyến tại Cổng Dịch vụ công trực tuyến của Bộ Nông nghiệp và Môi trường (địa chỉ: https://dichvucong.mae.gov.vn) hoặc Cổng dịch vụ công quốc gia (địa chỉ https://dichvucong.gov.vn).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Trường hợp hồ sơ hợp lệ: Văn bản chấp thuận của Bộ Nông nghiệp và Môi trường., Trường hợp hồ sơ không hợp lệ: Văn bản của Bộ Nông nghiệp và Môi trường trả hồ sơ cho chủ dự án, cơ sở và nêu rõ lý do.</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72/2020/QH14</w:t>
            </w:r>
          </w:p>
        </w:tc>
        <w:tc>
          <w:p/>
          <w:p>
            <w:pPr>
              <w:spacing w:after="0" w:before="0" w:lineRule="auto" w:line="276"/>
              <w:jc w:val="left"/>
            </w:pPr>
            <w:r>
              <w:rPr>
                <w:rFonts w:ascii="Times New Roman" w:hAnsi="Times New Roman" w:cs="Times New Roman" w:eastAsia="Times New Roman"/>
                <w:b w:val="false"/>
                <w:sz w:val="26"/>
              </w:rPr>
              <w:t>Luật Bảo vệ môi trường số 72/2020/QH14 ngày 17 tháng 11 năm 2020</w:t>
            </w:r>
          </w:p>
        </w:tc>
        <w:tc>
          <w:p/>
          <w:p>
            <w:pPr>
              <w:spacing w:after="0" w:before="0" w:lineRule="auto" w:line="276"/>
              <w:jc w:val="left"/>
            </w:pPr>
            <w:r>
              <w:rPr>
                <w:rFonts w:ascii="Times New Roman" w:hAnsi="Times New Roman" w:cs="Times New Roman" w:eastAsia="Times New Roman"/>
                <w:b w:val="false"/>
                <w:sz w:val="26"/>
              </w:rPr>
              <w:t>17-11-2020</w:t>
            </w:r>
          </w:p>
        </w:tc>
        <w:tc>
          <w:p/>
          <w:p>
            <w:pPr>
              <w:spacing w:after="0" w:before="0" w:lineRule="auto" w:line="276"/>
              <w:jc w:val="left"/>
            </w:pPr>
            <w:r>
              <w:rPr>
                <w:rFonts w:ascii="Times New Roman" w:hAnsi="Times New Roman" w:cs="Times New Roman" w:eastAsia="Times New Roman"/>
                <w:b w:val="false"/>
                <w:sz w:val="26"/>
              </w:rPr>
              <w:t>Ủy ban thường vụ quốc hội</w:t>
            </w:r>
          </w:p>
        </w:tc>
      </w:tr>
      <w:tr>
        <w:tc>
          <w:p/>
          <w:p>
            <w:pPr>
              <w:spacing w:after="0" w:before="0" w:lineRule="auto" w:line="276"/>
              <w:jc w:val="left"/>
            </w:pPr>
            <w:r>
              <w:rPr>
                <w:rFonts w:ascii="Times New Roman" w:hAnsi="Times New Roman" w:cs="Times New Roman" w:eastAsia="Times New Roman"/>
                <w:b w:val="false"/>
                <w:sz w:val="26"/>
              </w:rPr>
              <w:t>08/2022/NĐ-CP</w:t>
            </w:r>
          </w:p>
        </w:tc>
        <w:tc>
          <w:p/>
          <w:p>
            <w:pPr>
              <w:spacing w:after="0" w:before="0" w:lineRule="auto" w:line="276"/>
              <w:jc w:val="left"/>
            </w:pPr>
            <w:r>
              <w:rPr>
                <w:rFonts w:ascii="Times New Roman" w:hAnsi="Times New Roman" w:cs="Times New Roman" w:eastAsia="Times New Roman"/>
                <w:b w:val="false"/>
                <w:sz w:val="26"/>
              </w:rPr>
              <w:t>Nghị định số 08/2022/NĐ-CP</w:t>
            </w:r>
          </w:p>
        </w:tc>
        <w:tc>
          <w:p/>
          <w:p>
            <w:pPr>
              <w:spacing w:after="0" w:before="0" w:lineRule="auto" w:line="276"/>
              <w:jc w:val="left"/>
            </w:pPr>
            <w:r>
              <w:rPr>
                <w:rFonts w:ascii="Times New Roman" w:hAnsi="Times New Roman" w:cs="Times New Roman" w:eastAsia="Times New Roman"/>
                <w:b w:val="false"/>
                <w:sz w:val="26"/>
              </w:rPr>
              <w:t>10-01-2022</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02/2022/TT-BTNMT</w:t>
            </w:r>
          </w:p>
        </w:tc>
        <w:tc>
          <w:p/>
          <w:p>
            <w:pPr>
              <w:spacing w:after="0" w:before="0" w:lineRule="auto" w:line="276"/>
              <w:jc w:val="left"/>
            </w:pPr>
            <w:r>
              <w:rPr>
                <w:rFonts w:ascii="Times New Roman" w:hAnsi="Times New Roman" w:cs="Times New Roman" w:eastAsia="Times New Roman"/>
                <w:b w:val="false"/>
                <w:sz w:val="26"/>
              </w:rPr>
              <w:t>Thông tư số 02/2022/TT-BTNMT</w:t>
            </w:r>
          </w:p>
        </w:tc>
        <w:tc>
          <w:p/>
          <w:p>
            <w:pPr>
              <w:spacing w:after="0" w:before="0" w:lineRule="auto" w:line="276"/>
              <w:jc w:val="left"/>
            </w:pPr>
            <w:r>
              <w:rPr>
                <w:rFonts w:ascii="Times New Roman" w:hAnsi="Times New Roman" w:cs="Times New Roman" w:eastAsia="Times New Roman"/>
                <w:b w:val="false"/>
                <w:sz w:val="26"/>
              </w:rPr>
              <w:t>10-01-2022</w:t>
            </w:r>
          </w:p>
        </w:tc>
        <w:tc>
          <w:p/>
          <w:p>
            <w:pPr>
              <w:spacing w:after="0" w:before="0" w:lineRule="auto" w:line="276"/>
              <w:jc w:val="left"/>
            </w:pPr>
            <w:r>
              <w:rPr>
                <w:rFonts w:ascii="Times New Roman" w:hAnsi="Times New Roman" w:cs="Times New Roman" w:eastAsia="Times New Roman"/>
                <w:b w:val="false"/>
                <w:sz w:val="26"/>
              </w:rPr>
              <w:t>Bộ Tài nguyên và Môi trường</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 quy định.</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Chấp thuận liên kết, chuyển giao chất thải nguy hại không có trong giấy phép môi trường (thay thế - cấp Bộ) (2.002472)</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2026-05-01T01:38:24Z</dcterms:created>
  <dc:creator>Apache POI</dc:creator>
</cp:coreProperties>
</file>