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7751/QĐ-NHCS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cơ sở giáo dục mầm non, tiểu học ngoài công lập bị ảnh hưởng bởi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vay vốn:
Gửi Phương án vay vốn có xác nhận của UBND cấp xã (mẫu số 01) kèm theo Bản sao các giấy tờ phù hợp với loại hình hoạt động.</w:t>
      </w:r>
    </w:p>
    <w:p>
      <w:pPr>
        <w:spacing w:after="0" w:before="0" w:lineRule="auto" w:line="276"/>
        <w:jc w:val="both"/>
      </w:pPr>
      <w:r>
        <w:rPr>
          <w:rFonts w:ascii="Times New Roman" w:hAnsi="Times New Roman" w:cs="Times New Roman" w:eastAsia="Times New Roman"/>
          <w:b w:val="false"/>
          <w:sz w:val="26"/>
        </w:rPr>
        <w:t>Bước 2. NHCSXH nơi thực hiện thủ tục: 
- Kiểm tra, đối chiếu tính hợp pháp, hợp lệ của bộ hồ sơ vay vốn; thẩm định phương án vay vốn và phê duyệt cho vay:
 + Trường hợp hồ sơ vay vốn đầy đủ, hợp pháp, hợp lệ NHCSXH nơi cho vay gửi thông báo kết quả phê duyệt cho vay theo mẫu số 04a/TDMNTH cho khách hàng vay vốn đến trụ sở NHCSXH nơi thực hiện thủ tục làm thủ tục nhận tiền vay theo quy định.
+ Trường hợp khách hàng không đủ điều kiện phê duyệt cho vay, NHCSXH nơi cho vay lập Thông báo từ chối cho vay mẫu số 04b/TDMNTH.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05 (không năm) ngày làm việc kể từ ngày NHCSXH nơi thực hiện thủ tục nhận được bộ hồ sơ vay vốn đầy đủ, hợp lệ từ khách hàng đối với mức vay tối đa đến 100 triệu đồng.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10 (mười) ngày làm việc kể từ ngày NHCSXH nơi thực hiện thủ tục nhận được bộ hồ sơ vay vốn đầy đủ, hợp lệ từ khách hàng đối với mức vay tối đa trên 100 triệu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Khách hàng vay vốn kê khai và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sử dụng vốn vay (mẫu số 01):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Mau 01kèm QĐ 11-2022-QĐ-TTg.doc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phù hợp với loại hình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cho phép thành lập của cơ quan nhà nước có thẩm quyền cấp: 01 bản sao (lưu tại NHCSXH nơi thực hiện thủ tục) Cơ sở giáo dục mầm non độc lập dân lập, tư thục do chủ tịch UBND cấp xã ra Quyết định cho phép thành lập.  Trường mầm non dân lập, tư thục; trường tiểu học tư thục do Chủ tịch UBND cấp huyện ra Quyết định cho phép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cho phép hoạt động giáo dục: đối với trường mầm non dân lập, tư thục, trường tiểu học tư thục do Trưởng phòng giáo dục và Đào tạo ra Quyết định cho phép hoạt động giáo dục: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(đối với trường hợp khách hàng là doanh nghiệp đầu tư thành lập cơ sở giáo dục):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Điều lệ/Quy chế tổ chức hoạt động của khách hàng vay vốn và đối tượng vay vốn (nếu có):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thực hiện vay vốn tại NHCSXH của Hội đồng trường/Hội đồng quản trị/Nhà đầu tư hoặc đại diện có thẩm quyền thực hiện quyền của Hội đồng trường/Hội đồng quản trị/Nhà đầu tư/Các thành viên góp vốn theo quy định của pháp luật và/hoặc Điều lệ/Quy chế tổ chức hoạt động của khách hàng và đối tượng vay vốn có quy định: 01 bản gốc/bản chính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minh nhân dân/Thẻ căn cước công dân/Hộ chiếu còn hiệu lực của khách hàng hoặc người đại diện hợp pháp của khách hàng: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bổ nhiệm/công nhận/cử người đứng đầu theo quy định của              Điều lệ/Quy chế hoạt động của tổ chức hoặc Quyết định của cơ quan nhà nước có thẩm quyền (nếu có) theo quy định: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gốc/Bản chính/Bản sao có chứng thực Giấy ủy quyền (nếu có): 01 bản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04a/TDMNTH)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3131/NHCS-TDSV</w:t>
            </w:r>
          </w:p>
        </w:tc>
        <w:tc>
          <w:p/>
          <w:p>
            <w:pPr>
              <w:spacing w:after="0" w:before="0" w:lineRule="auto" w:line="276"/>
              <w:jc w:val="left"/>
            </w:pPr>
            <w:r>
              <w:rPr>
                <w:rFonts w:ascii="Times New Roman" w:hAnsi="Times New Roman" w:cs="Times New Roman" w:eastAsia="Times New Roman"/>
                <w:b w:val="false"/>
                <w:sz w:val="26"/>
              </w:rPr>
              <w:t>Hướng dẫn nghiệp vụ cho vay đối với cơ sở giáo dục mầm non, tiểu học ngoài công lập bị ảnh hưởng bởi đại dịch COVID-19</w:t>
            </w:r>
          </w:p>
        </w:tc>
        <w:tc>
          <w:p/>
          <w:p>
            <w:pPr>
              <w:spacing w:after="0" w:before="0" w:lineRule="auto" w:line="276"/>
              <w:jc w:val="left"/>
            </w:pPr>
            <w:r>
              <w:rPr>
                <w:rFonts w:ascii="Times New Roman" w:hAnsi="Times New Roman" w:cs="Times New Roman" w:eastAsia="Times New Roman"/>
                <w:b w:val="false"/>
                <w:sz w:val="26"/>
              </w:rPr>
              <w:t>27-04-2022</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11/2022/QĐ-TTg</w:t>
            </w:r>
          </w:p>
        </w:tc>
        <w:tc>
          <w:p/>
          <w:p>
            <w:pPr>
              <w:spacing w:after="0" w:before="0" w:lineRule="auto" w:line="276"/>
              <w:jc w:val="left"/>
            </w:pPr>
            <w:r>
              <w:rPr>
                <w:rFonts w:ascii="Times New Roman" w:hAnsi="Times New Roman" w:cs="Times New Roman" w:eastAsia="Times New Roman"/>
                <w:b w:val="false"/>
                <w:sz w:val="26"/>
              </w:rPr>
              <w:t>Về tín dụng đối với cơ sở giáo dục mầm non, tiểu học ngoài công lập bị ảnh hưởng bởi đại dịch COVID-19;</w:t>
            </w:r>
          </w:p>
        </w:tc>
        <w:tc>
          <w:p/>
          <w:p>
            <w:pPr>
              <w:spacing w:after="0" w:before="0" w:lineRule="auto" w:line="276"/>
              <w:jc w:val="left"/>
            </w:pPr>
            <w:r>
              <w:rPr>
                <w:rFonts w:ascii="Times New Roman" w:hAnsi="Times New Roman" w:cs="Times New Roman" w:eastAsia="Times New Roman"/>
                <w:b w:val="false"/>
                <w:sz w:val="26"/>
              </w:rPr>
              <w:t>27-04-2022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thành lập và hoạt động theo quy định của pháp luật.
 - Phải dừng hoạt động theo yêu cầu phòng, chống dịch COVID-19 ít nhất 1 tháng tính đến thời điểm vay vốn.
- Có Phương án vay vốn để phục hồi, duy trì hoạt động theo mẫu số 01 ban hành kèm theo Quyết định  số 11/2022/QĐ-TTg ngày 27 tháng 4 năm 2022 của Thủ tướng Chính phủ.
- Đối với khách hàng vay có mức vay trên 100 triệu đồng phải thực hiện bảo đảm tiền vay theo quy định của pháp luật về giao dịch bảo đảm và các quy định hiện hành của NHCSXH.
- Tại thời điểm đề nghị vay vốn, khách hàng không có nợ xấu tại các tổ chức tín dụng và chi nhánh ngân hàng nước ngoài phát sinh trước thời điểm 23/01/2020.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2026-05-27T18:01:43Z</dcterms:created>
  <dc:creator>Apache POI</dc:creator>
</cp:coreProperties>
</file>