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tử, xóa 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kiểm tra, hướng dẫn, tiếp nhận hồ sơ theo quy định, quét (scan) và cập nhật, lưu trữ hồ sơ điện tử. Chuyển hồ sơ đến công chức Tư pháp - Hộ tịch.
- Bước 2: Kiểm tra thông tin và tiến hành đăng ký khai tử; trình lãnh đạo UBND cấp xã ký trích lục khai tử cho người được đăng ký khai tử.  
- Bước 3: Ký trích lục khai tử, chuyển Bộ phận một cửa UBND cấp xã để thực hiện bước tiếp theo.
- Bước 4: Lập hồ sơ xóa đăng ký thường trú, chuyển cho cơ quan Công an xóa đăng ký thường trú và thay đổi chủ hộ (nếu có).
- Bước 5:
  + Công an xã, thị trấn thực hiện xóa đăng ký thường trú của người chết, thay đổi chủ hộ (nếu có).
  + Công an thị xã, thành phố thực hiện xóa đăng ký thường trú của người chết, thay đổi chủ hộ (nếu có).
- Bước 6: Trả kết quả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w:t>
            </w:r>
          </w:p>
        </w:tc>
        <w:tc>
          <w:p/>
          <w:p>
            <w:pPr>
              <w:spacing w:after="0" w:before="0" w:lineRule="auto" w:line="276"/>
              <w:jc w:val="left"/>
            </w:pPr>
            <w:r>
              <w:rPr>
                <w:rFonts w:ascii="Times New Roman" w:hAnsi="Times New Roman" w:cs="Times New Roman" w:eastAsia="Times New Roman"/>
                <w:b w:val="false"/>
                <w:sz w:val="26"/>
              </w:rPr>
              <w:t>Phí :  Đồng</w:t>
              <w:t xml:space="preserve"> (- 5.000 đồng/trường hợp nếu đăng ký khai tử quá hạn, đăng ký khai tử có yếu tố nước ngoài tại khu vực biên giới. - Tất cả các trường hợp đăng ký khai tử khác: Miễn lệ phí. - Xóa đăng ký thường trú: Không thu lệ phí.)</w:t>
            </w:r>
          </w:p>
        </w:tc>
        <w:tc>
          <w:p/>
          <w:p>
            <w:pPr>
              <w:spacing w:after="0" w:before="0" w:lineRule="auto" w:line="276"/>
              <w:jc w:val="left"/>
            </w:pPr>
            <w:r>
              <w:rPr>
                <w:rFonts w:ascii="Times New Roman" w:hAnsi="Times New Roman" w:cs="Times New Roman" w:eastAsia="Times New Roman"/>
                <w:b w:val="false"/>
                <w:sz w:val="26"/>
              </w:rPr>
              <w:t>- Nếu có nhu cầu, người dân được nhận trích lục khai tử ngay sau khi UBND cấp xã thực hiện xong việc đăng ký khai tử.
- Trường hợp liên thông thủ tục đăng ký khai tử, xóa đăng ký thường trú: 06 ngày làm việc, kể từ ngày nhận đủ hồ sơ hợp lệ, trong đó:
+ Đối với Công an xã, thị trấn 02 ngày làm việc;
+ Đối với công an thành phố Hà Tĩnh, thị xã Kỳ Anh, thị xã Hồng Lĩnh 04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w:t>
            </w:r>
          </w:p>
        </w:tc>
        <w:tc>
          <w:p/>
          <w:p>
            <w:pPr>
              <w:spacing w:after="0" w:before="0" w:lineRule="auto" w:line="276"/>
              <w:jc w:val="left"/>
            </w:pPr>
            <w:r>
              <w:rPr>
                <w:rFonts w:ascii="Times New Roman" w:hAnsi="Times New Roman" w:cs="Times New Roman" w:eastAsia="Times New Roman"/>
                <w:b w:val="false"/>
                <w:sz w:val="26"/>
              </w:rPr>
              <w:t>Phí :  Đồng</w:t>
              <w:t xml:space="preserve"> (- 5.000 đồng/trường hợp nếu đăng ký khai tử quá hạn, đăng ký khai tử có yếu tố nước ngoài tại khu vực biên giới. - Tất cả các trường hợp đăng ký khai tử khác: Miễn lệ phí. - Xóa đăng ký thường trú: Không thu lệ phí.)</w:t>
            </w:r>
          </w:p>
        </w:tc>
        <w:tc>
          <w:p/>
          <w:p>
            <w:pPr>
              <w:spacing w:after="0" w:before="0" w:lineRule="auto" w:line="276"/>
              <w:jc w:val="left"/>
            </w:pPr>
            <w:r>
              <w:rPr>
                <w:rFonts w:ascii="Times New Roman" w:hAnsi="Times New Roman" w:cs="Times New Roman" w:eastAsia="Times New Roman"/>
                <w:b w:val="false"/>
                <w:sz w:val="26"/>
              </w:rPr>
              <w:t>- Nếu có nhu cầu, người dân được nhận trích lục khai tử ngay sau khi UBND cấp xã thực hiện xong việc đăng ký khai tử.
- Trường hợp liên thông thủ tục đăng ký khai tử, xóa đăng ký thường trú: 06 ngày làm việc, kể từ ngày nhận đủ hồ sơ hợp lệ, trong đó:
+ Đối với Công an xã, thị trấn 02 ngày làm việc;
+ Đối với công an thành phố Hà Tĩnh, thị xã Kỳ Anh, thị xã Hồng Lĩnh 04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w:t>
            </w:r>
          </w:p>
        </w:tc>
        <w:tc>
          <w:p/>
          <w:p>
            <w:pPr>
              <w:spacing w:after="0" w:before="0" w:lineRule="auto" w:line="276"/>
              <w:jc w:val="left"/>
            </w:pPr>
            <w:r>
              <w:rPr>
                <w:rFonts w:ascii="Times New Roman" w:hAnsi="Times New Roman" w:cs="Times New Roman" w:eastAsia="Times New Roman"/>
                <w:b w:val="false"/>
                <w:sz w:val="26"/>
              </w:rPr>
              <w:t>Phí :  Đồng</w:t>
              <w:t xml:space="preserve"> (- 5.000 đồng/trường hợp nếu đăng ký khai tử quá hạn, đăng ký khai tử có yếu tố nước ngoài tại khu vực biên giới. - Tất cả các trường hợp đăng ký khai tử khác: Miễn lệ phí. - Xóa đăng ký thường trú: Không thu lệ phí.)</w:t>
            </w:r>
          </w:p>
        </w:tc>
        <w:tc>
          <w:p/>
          <w:p>
            <w:pPr>
              <w:spacing w:after="0" w:before="0" w:lineRule="auto" w:line="276"/>
              <w:jc w:val="left"/>
            </w:pPr>
            <w:r>
              <w:rPr>
                <w:rFonts w:ascii="Times New Roman" w:hAnsi="Times New Roman" w:cs="Times New Roman" w:eastAsia="Times New Roman"/>
                <w:b w:val="false"/>
                <w:sz w:val="26"/>
              </w:rPr>
              <w:t>- Nếu có nhu cầu, người dân được nhận trích lục khai tử ngay sau khi UBND cấp xã thực hiện xong việc đăng ký khai tử.
- Trường hợp liên thông thủ tục đăng ký khai tử, xóa đăng ký thường trú: 06 ngày làm việc, kể từ ngày nhận đủ hồ sơ hợp lệ, trong đó:
+ Đối với Công an xã, thị trấn 02 ngày làm việc;
+ Đối với công an thành phố Hà Tĩnh, thị xã Kỳ Anh, thị xã Hồng Lĩnh 04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khai tử theo mẫu.</w:t>
            </w:r>
          </w:p>
        </w:tc>
        <w:tc>
          <w:p/>
          <w:p>
            <w:pPr>
              <w:spacing w:after="0" w:before="0" w:lineRule="auto" w:line="276"/>
              <w:jc w:val="left"/>
            </w:pPr>
            <w:r>
              <w:rPr>
                <w:rFonts w:ascii="Times New Roman" w:hAnsi="Times New Roman" w:cs="Times New Roman" w:eastAsia="Times New Roman"/>
                <w:b w:val="false"/>
                <w:sz w:val="26"/>
              </w:rPr>
              <w:t>BM.KT-XTTr.01.01.docx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hoặc giấy tờ thay cho Giấy báo tử theo quy định tại Điều 34 Luật Hộ tịch và Khoản 2, Điều 4, Nghị định số 123/2015/NĐ-CP ngày 15/11/2015 của Chính phủ quy định chi tiết một số điều và biện pháp thi hành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xóa đăng ký thường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(theo mẫu);</w:t>
            </w:r>
          </w:p>
        </w:tc>
        <w:tc>
          <w:p/>
          <w:p>
            <w:pPr>
              <w:spacing w:after="0" w:before="0" w:lineRule="auto" w:line="276"/>
              <w:jc w:val="left"/>
            </w:pPr>
            <w:r>
              <w:rPr>
                <w:rFonts w:ascii="Times New Roman" w:hAnsi="Times New Roman" w:cs="Times New Roman" w:eastAsia="Times New Roman"/>
                <w:b w:val="false"/>
                <w:sz w:val="26"/>
              </w:rPr>
              <w:t>BM.KT-XTTr.01.02.docx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hộ khẩu (bản chính)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tử,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 -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2026-05-19T12:37:05Z</dcterms:created>
  <dc:creator>Apache POI</dc:creator>
</cp:coreProperties>
</file>