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1.010915</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123</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khai tử, hưởng chế độ tử tuất/hỗ trợ chi phí mai táng/hưởng mai táng phí</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Hộ tịch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Tiếp nhận hồ sơ, kiểm tra, hướng dẫn, tiếp nhận hồ sơ theo quy định, quét (scan) và cập nhật, lưu trữ hồ sơ điện tử. Chuyển hồ sơ đến công chức Tư pháp - Hộ tịch.
Bước 2: Kiểm tra thông tin và tiến hành đăng ký khai tử; trình lãnh đạo UBND cấp xã ký trích lục khai tử cho người được đăng ký khai tử.  
Bước 3: Ký trích lục khai tử, chuyển Bộ phận một cửa UBND cấp xã hoặc công chức Tư pháp – Hộ tịch để thực hiện bước tiếp theo
Bước 4: 
- Lập hồ sơ giải quyết hưởng chế độ tử tuất (trợ cấp tuất và trợ cấp mai táng) để tham mưu văn bản chuyển hồ sơ đến cơ quan bảo hiểm xã hội cấp huyện.
- Lập hồ sơ giải quyết hỗ trợ chi phí mai táng cho đối tượng bảo trợ xã hội (được trợ giúp xã hội thường xuyên tại cộng đồng);
 + Hoặc lập bản khai đối với trường hợp hưởng mai táng phí khi người có công với cách mạng từ trần
 .+ Hoặc lập danh sách đối tượng thân nhân liệt sĩ đang hưởng trợ cấp hàng tháng; người trực tiếp tham gia kháng chiến chống Mỹ cứu nước nhưng chưa được hưởng chính sách của Đảng, nhà nước theo Quyết định số 290/2005/QĐ-TTg ngày 08/11/2005, quyết định số 188/2007/QĐ-TTg ngày 06/12 năm 2007; 
 + Hoặc lập hồ sơ hưởng chế độ mai táng phí đối với đối tượng thực hiện theo Nghị định số 150/2006/NĐ-CP ngày 12/12/2006 hướng dẫn thi hành một số điều của Pháp lệnh cựu chiến binh chuyển cho Hội Cựu chiến binh để xác nhận;
 + Hoặc lập hồ sơ đối với đối tượng hưởng trợ cấp theo Quyết định số 62/2011/QĐ-TTg ngày 09/11/2011 về chế độ, chính sách đối với đối tượng tham gia chiến tranh bảo vệ Tổ quốc, làm nhiệm vụ quốc tế ở Cam-pu-chi-a, giúp nước bạn Lào sau ngày 30/4/1975 đã phục viên, xuất ngũ, thôi việc;
 + hoặc lập hồ sơ đối tượng dân công hỏa tuyến tham gia kháng chiến chống Pháp, chống Mỹ, chiến tranh bảo vệ Tổ quốc và làm nhiệm vụ quốc tế được hưởng chế độ trợ cấp mai táng phí quy định tại Quyết định số 49/2015/QĐ-TTg ngày 14/10/2015 của Thủ tướng Chính phủ về một số chế độ, chính sách đối với dân công hỏa tuyến tham gia kháng chiến chống Pháp, chống Mỹ, chiến tranh bảo vệ tổ quốc và làm nhiệm vụ quốc tế; 
- Trình Chủ tịch Ủy ban nhân dân cấp xã ra văn bản đề nghị gửi Phòng Lao động - Thương binh và Xã hội.
Bước 5:
-  Đối với hồ sơ hưởng mai táng phí cho đối tượng người có công với cách mạng: Kiểm tra lập phiếu báo giảm và tổng hợp danh sách gửi Sở Lao động - Thương binh và Xã hội (chuyển sang bước 6);
- Đối với hồ sơ hỗ trợ chi phí mai táng cho đối tượng bảo trợ xã hội (được trợ giúp xã hội thường xuyên tại cộng đồng): Thẩm định, trình Chủ tịch UBND cấp huyện quyết định hỗ trợ chi phí mai táng và chuyển trả kết quả cho UBND cấp xã. (chuyển sang bước 7);
- Đối với hồ sơ hưởng mai táng phí cho thân nhân liệt sĩ đang hưởng trợ cấp hàng tháng; người trực tiếp tham gia kháng chiến chống Mỹ cứu nước nhưng chưa được hưởng chính sách của Đảng, nhà nước theo Quyết định số 290/2005/QĐ-TTg ngày 08/11/2005, Quyết định số 188/2007/QĐ-TTg ngày 06/12/2007: thẩm định hồ sơ, tổng hợp gửi Sở Lao động - Thương binh và Xã hội (chuyển sang bước 6);
- Đối với hồ sơ hưởng chế độ mai táng phí cho đối tượng thực hiện theo Nghị định số 150/2006/NĐ-CP ngày 12/12/2006 hướng dẫn thi hành một số điều của Pháp lệnh cựu chiến binh: Phối hợp với Hội Cựu chiến binh cấp huyện tổng hợp, lập danh sách đề nghị hưởng chế độ mai táng phí, báo cáo Chủ tịch UBND cấp huyện ký văn bản gửi Sở Lao động - Thương binh và Xã hội. (chuyển sang bước 6);
- Đối với hồ sơ đối tượng hưởng trợ cấp theo Quyết định số 62/2011/QĐ-TTg ngày 09/11/2011 về chế độ, chính sách đối với đối tượng tham gia chiến tranh bảo vệ Tổ quốc, làm nhiệm vụ quốc tế ở Cam-pu-chi-a, giúp nước bạn Lào sau ngày 30/4 năm 1975 đã phục viên, xuất ngũ, thôi việc: Tiến hành rà soát, đối chiếu, tổng hợp kèm theo hồ sơ và danh sách đối tượng, gửi Sở Lao động - Thương binh và Xã hội (chuyển sang bước 6);
- Đối với hồ sơ đối tượng dân công hỏa tuyến tham gia kháng chiến chống Pháp, chống Mỹ, chiến tranh bảo vệ Tổ quốc và làm nhiệm vụ quốc tế được hưởng chế độ trợ cấp mai táng phí quy định tại Quyết định số 49/2015/QĐ-TTg ngày 14/10/2015 của Thủ tướng Chính phủ về một số chế độ, chính sách đối với dân công hỏa tuyến tham gia kháng chiến chống Pháp, chống Mỹ, chiến tranh bảo vệ tổ quốc và làm nhiệm vụ quốc tế: Kiểm tra hồ sơ, đề nghị Sở Lao động - Thương binh và Xã hội xem xét (chuyển sang bước 6);
Bước 6: 
-  Đối với hồ sơ hưởng mai táng phí cho đối tượng người có công với cách mạng: Tiếp nhận, kiểm tra, hoàn thiện hồ sơ, tham mưu lãnh đạo Sở ký duyệt và chuyển kết quả về Phòng Lao động - Thương binh và Xã hội;
- Đối với hồ sơ hưởng mai táng phí cho thân nhân liệt sĩ đang hưởng trợ cấp hàng tháng; người trực tiếp tham gia kháng chiến chống Mỹ cứu nước nhưng chưa được hưởng chính sách của Đảng, nhà nước theo Quyết định số 290/2005/QĐ-TTg ngày 08/11/2005, Quyết định số 188/2007/QĐ-TTg ngày 06/12/2007: thẩm định, tổng hợp danh sách báo cáo UBND tỉnh ra quyết định hưởng chế độ mai táng phí, chuyển kết quả về Phòng Lao động - Thương binh và Xã hội (chuyển sang bước 7);
- Đối với hồ sơ hưởng chế độ mai táng phí cho đối tượng thực hiện theo Nghị định số 150/2006/NĐ-CP ngày 12/12/2006 hướng dẫn thi hành một số điều của Pháp lệnh cựu chiến binh: Phối hợp với Hội Cựu chiến binh cấp tỉnh tổng hợp, lập danh sách đề nghị hưởng chế độ mai táng phí  trình Lãnh đạo Sở ký quyết định hưởng chế độ mai táng phí, chuyển kết quả về Phòng Lao động - Thương binh và Xã hội (chuyển sang bước 7);
- Đối với hồ sơ đối tượng hưởng trợ cấp theo Quyết định số 62/2011/QĐ-TTg ngày 09/11/2011 về chế độ, chính sách đối với đối tượng tham gia chiến tranh bảo vệ Tổ quốc, làm nhiệm vụ quốc tế ở Cam-pu-chi-a, giúp nước bạn Lào sau ngày 30/4/1975 đã phục viên, xuất ngũ, thôi việc: Tiếp nhận hồ sơ, xét duyệt, tổng hợp báo cáo, đề nghị UBND tỉnh ra quyết định và trả kết quả cho Phòng Lao động- Thương binh và Xã hội. (chuyển sang bước 7);
- Đối với hồ sơ đối tượng dân công hỏa tuyến tham gia kháng chiến chống Pháp, chống Mỹ, chiến tranh bảo vệ Tổ quốc và làm nhiệm vụ quốc tế được hưởng chế độ trợ cấp mai táng phí quy định tại Quyết định số 49/2015/QĐ-TTg ngày 14/10/2015 của Thủ tướng Chính phủ về một số chế độ, chính sách đối với dân công hỏa tuyến tham gia kháng chiến chống Pháp, chống Mỹ, chiến tranh bảo vệ tổ quốc và làm nhiệm vụ quốc tế: Kiểm tra, tổng hợp danh sách, lưu hồ sơ và trình Lãnh đạo Sở ra quyết định hưởng trợ cấp, chuyển trả kết quả cho phòng Lao động - Thương binh và Xã hội (chuyển sang bước 7).
Bước 7: Chuyển kết quả về UBND cấp xã
Bước 8: Trả kết quả cho công dân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28 Ngày</w:t>
            </w:r>
          </w:p>
        </w:tc>
        <w:tc>
          <w:p/>
          <w:p>
            <w:pPr>
              <w:spacing w:after="0" w:before="0" w:lineRule="auto" w:line="276"/>
              <w:jc w:val="left"/>
            </w:pPr>
            <w:r>
              <w:rPr>
                <w:rFonts w:ascii="Times New Roman" w:hAnsi="Times New Roman" w:cs="Times New Roman" w:eastAsia="Times New Roman"/>
                <w:b w:val="false"/>
                <w:sz w:val="26"/>
              </w:rPr>
              <w:t>Mức giá :  Đồng</w:t>
              <w:t xml:space="preserve"> (- 5.000 đồng/trường hợp nếu đăng ký khai tử quá hạn, đăng ký khai tử có yếu tố nước ngoài tại khu vực biên giới. - Tất cả các trường hợp đăng ký khai tử khác: Miễn lệ phí. - Hưởng chế độ tử tuất/hỗ trợ chi phí mai táng/hưởng mai táng phí: Không thu phí/lệ phí)</w:t>
            </w:r>
          </w:p>
        </w:tc>
        <w:tc>
          <w:p/>
          <w:p>
            <w:pPr>
              <w:spacing w:after="0" w:before="0" w:lineRule="auto" w:line="276"/>
              <w:jc w:val="left"/>
            </w:pPr>
            <w:r>
              <w:rPr>
                <w:rFonts w:ascii="Times New Roman" w:hAnsi="Times New Roman" w:cs="Times New Roman" w:eastAsia="Times New Roman"/>
                <w:b w:val="false"/>
                <w:sz w:val="26"/>
              </w:rPr>
              <w:t>- Nếu có nhu cầu, người dân được nhận trích lục khai tử ngay sau khi UBND cấp xã thực hiện xong việc đăng ký khai tử.
- Trường hợp liên thông thủ tục đăng ký khai tử, hưởng chế độ tử tuất (trợ cấp tuất và trợ cấp mai táng): Tổng thời gian là 28 ngày trong đó thời gian giải quyết là 20 ngày; thời gian chuyển hồ sơ là 08 ngày.
- Trường hợp liên thông thủ tục đăng ký khai tử, hưởng mai táng phí đối với đối tượng người có công với cách mạng từ trần: Tổng thời gian là 33 ngày, trong đó thời gian giải quyết là 25 ngày; thời gian chuyển hồ sơ là 08 ngày.
- Trường hợp liên thông thủ tục đăng ký khai tử, hỗ trợ chi phí mai táng cho đối tượng bảo trợ xã hội (được trợ giúp xã hội thường xuyên tại cộng đồng): Tổng thời gian là 12 ngày, trong đó thời gian giải quyết là 08 ngày; thời gian chuyển hồ sơ là 04 ngày.
- Trường hợp liên thông thủ tục đăng ký khai tử, hưởng mai táng phí đối với đối tượng thân nhân liệt sĩ đang hưởng trợ cấp hàng tháng; người trực tiếp tham gia kháng chiến chống Mỹ cứu nước nhưng chưa được hưởng chính sách của Đảng, nhà nước theo Quyết định số 290/2005/QĐ-TTg ngày 08/11/2005; Quyết định số 188/2007/QĐ-TTg ngày 06/12/2007: Tổng thời gian là 48 ngày, trong đó thời gian giải quyết là 40 ngày; thời gian chuyển hồ sơ là 08 ngày.
- Trường hợp liên thông thủ tục đăng ký khai tử, hưởng mai táng phí đối với đối tượng thực hiện theo Nghị định số 150/2006/NĐ-CP ngày 12/12/2006 hướng dẫn thi hành một số điều của Pháp lệnh Cựu chiến binh: Tổng thời gian là 30 ngày, trong đó thời gian giải quyết là 24 ngày; thời gian chuyển hồ sơ là 06 ngày.
- Trường hợp liên thông thủ tục đăng ký khai tử, hưởng mai táng phí đối với đối tượng hưởng trợ cấp theo Quyết định số 62/2011/QĐ-TTg ngày 09/11/2011 về chế độ, chính sách đối với đối tượng tham gia chiến tranh bảo vệ tổ quốc, làm nhiệm vụ quốc tế ở Cam-pu-chi-a, giúp nước bạn Lào sau ngày 30 tháng 4 năm 1975 đã phục viên, xuất ngũ, thôi việc: Tổng thời gian là 34 ngày, trong đó thời gian giải quyết là 26 ngày; thời gian chuyển hồ sơ là 08 ngày.
- Trường hợp liên thông thủ tục đăng ký khai tử, hưởng mai táng phí đối với đối tượng hưởng trợ cấp theo Quyết định số 49/2015/QĐ-TTg ngày 14/10/2015 của Thủ tướng Chính phủ về một số chế độ, chính sách đối với dân công hỏa tuyến tham gia kháng chiến chống Pháp, chống Mỹ, chiến tranh bảo vệ Tổ quốc và làm nghĩa vụ quốc tế: Tổng thời gian là 34 ngày, trong đó thời gian giải quyết là 26 ngày; thời gian chuyển hồ sơ là 08 ngày.</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28 Ngày</w:t>
            </w:r>
          </w:p>
        </w:tc>
        <w:tc>
          <w:p/>
          <w:p>
            <w:pPr>
              <w:spacing w:after="0" w:before="0" w:lineRule="auto" w:line="276"/>
              <w:jc w:val="left"/>
            </w:pPr>
            <w:r>
              <w:rPr>
                <w:rFonts w:ascii="Times New Roman" w:hAnsi="Times New Roman" w:cs="Times New Roman" w:eastAsia="Times New Roman"/>
                <w:b w:val="false"/>
                <w:sz w:val="26"/>
              </w:rPr>
              <w:t>Mức giá :  Đồng</w:t>
              <w:t xml:space="preserve"> (- 5.000 đồng/trường hợp nếu đăng ký khai tử quá hạn, đăng ký khai tử có yếu tố nước ngoài tại khu vực biên giới. - Tất cả các trường hợp đăng ký khai tử khác: Miễn lệ phí. - Hưởng chế độ tử tuất/hỗ trợ chi phí mai táng/hưởng mai táng phí: Không thu phí/lệ phí)</w:t>
            </w:r>
          </w:p>
        </w:tc>
        <w:tc>
          <w:p/>
          <w:p>
            <w:pPr>
              <w:spacing w:after="0" w:before="0" w:lineRule="auto" w:line="276"/>
              <w:jc w:val="left"/>
            </w:pPr>
            <w:r>
              <w:rPr>
                <w:rFonts w:ascii="Times New Roman" w:hAnsi="Times New Roman" w:cs="Times New Roman" w:eastAsia="Times New Roman"/>
                <w:b w:val="false"/>
                <w:sz w:val="26"/>
              </w:rPr>
              <w:t>- Nếu có nhu cầu, người dân được nhận trích lục khai tử ngay sau khi UBND cấp xã thực hiện xong việc đăng ký khai tử.
- Trường hợp liên thông thủ tục đăng ký khai tử, hưởng chế độ tử tuất (trợ cấp tuất và trợ cấp mai táng): Tổng thời gian là 28 ngày trong đó thời gian giải quyết là 20 ngày; thời gian chuyển hồ sơ là 08 ngày.
- Trường hợp liên thông thủ tục đăng ký khai tử, hưởng mai táng phí đối với đối tượng người có công với cách mạng từ trần: Tổng thời gian là 33 ngày, trong đó thời gian giải quyết là 25 ngày; thời gian chuyển hồ sơ là 08 ngày.
- Trường hợp liên thông thủ tục đăng ký khai tử, hỗ trợ chi phí mai táng cho đối tượng bảo trợ xã hội (được trợ giúp xã hội thường xuyên tại cộng đồng): Tổng thời gian là 12 ngày, trong đó thời gian giải quyết là 08 ngày; thời gian chuyển hồ sơ là 04 ngày.
- Trường hợp liên thông thủ tục đăng ký khai tử, hưởng mai táng phí đối với đối tượng thân nhân liệt sĩ đang hưởng trợ cấp hàng tháng; người trực tiếp tham gia kháng chiến chống Mỹ cứu nước nhưng chưa được hưởng chính sách của Đảng, nhà nước theo Quyết định số 290/2005/QĐ-TTg ngày 08/11/2005; Quyết định số 188/2007/QĐ-TTg ngày 06/12/2007: Tổng thời gian là 48 ngày, trong đó thời gian giải quyết là 40 ngày; thời gian chuyển hồ sơ là 08 ngày.
- Trường hợp liên thông thủ tục đăng ký khai tử, hưởng mai táng phí đối với đối tượng thực hiện theo Nghị định số 150/2006/NĐ-CP ngày 12/12/2006 hướng dẫn thi hành một số điều của Pháp lệnh Cựu chiến binh: Tổng thời gian là 30 ngày, trong đó thời gian giải quyết là 24 ngày; thời gian chuyển hồ sơ là 06 ngày.
- Trường hợp liên thông thủ tục đăng ký khai tử, hưởng mai táng phí đối với đối tượng hưởng trợ cấp theo Quyết định số 62/2011/QĐ-TTg ngày 09/11/2011 về chế độ, chính sách đối với đối tượng tham gia chiến tranh bảo vệ tổ quốc, làm nhiệm vụ quốc tế ở Cam-pu-chi-a, giúp nước bạn Lào sau ngày 30 tháng 4 năm 1975 đã phục viên, xuất ngũ, thôi việc: Tổng thời gian là 34 ngày, trong đó thời gian giải quyết là 26 ngày; thời gian chuyển hồ sơ là 08 ngày.
- Trường hợp liên thông thủ tục đăng ký khai tử, hưởng mai táng phí đối với đối tượng hưởng trợ cấp theo Quyết định số 49/2015/QĐ-TTg ngày 14/10/2015 của Thủ tướng Chính phủ về một số chế độ, chính sách đối với dân công hỏa tuyến tham gia kháng chiến chống Pháp, chống Mỹ, chiến tranh bảo vệ Tổ quốc và làm nghĩa vụ quốc tế: Tổng thời gian là 34 ngày, trong đó thời gian giải quyết là 26 ngày; thời gian chuyển hồ sơ là 08 ngày.</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28 Ngày</w:t>
            </w:r>
          </w:p>
        </w:tc>
        <w:tc>
          <w:p/>
          <w:p>
            <w:pPr>
              <w:spacing w:after="0" w:before="0" w:lineRule="auto" w:line="276"/>
              <w:jc w:val="left"/>
            </w:pPr>
            <w:r>
              <w:rPr>
                <w:rFonts w:ascii="Times New Roman" w:hAnsi="Times New Roman" w:cs="Times New Roman" w:eastAsia="Times New Roman"/>
                <w:b w:val="false"/>
                <w:sz w:val="26"/>
              </w:rPr>
              <w:t>Mức giá :  Đồng</w:t>
              <w:t xml:space="preserve"> (- 5.000 đồng/trường hợp nếu đăng ký khai tử quá hạn, đăng ký khai tử có yếu tố nước ngoài tại khu vực biên giới. - Tất cả các trường hợp đăng ký khai tử khác: Miễn lệ phí. - Hưởng chế độ tử tuất/hỗ trợ chi phí mai táng/hưởng mai táng phí: Không thu phí/lệ phí)</w:t>
            </w:r>
          </w:p>
        </w:tc>
        <w:tc>
          <w:p/>
          <w:p>
            <w:pPr>
              <w:spacing w:after="0" w:before="0" w:lineRule="auto" w:line="276"/>
              <w:jc w:val="left"/>
            </w:pPr>
            <w:r>
              <w:rPr>
                <w:rFonts w:ascii="Times New Roman" w:hAnsi="Times New Roman" w:cs="Times New Roman" w:eastAsia="Times New Roman"/>
                <w:b w:val="false"/>
                <w:sz w:val="26"/>
              </w:rPr>
              <w:t>- Nếu có nhu cầu, người dân được nhận trích lục khai tử ngay sau khi UBND cấp xã thực hiện xong việc đăng ký khai tử.
- Trường hợp liên thông thủ tục đăng ký khai tử, hưởng chế độ tử tuất (trợ cấp tuất và trợ cấp mai táng): Tổng thời gian là 28 ngày trong đó thời gian giải quyết là 20 ngày; thời gian chuyển hồ sơ là 08 ngày.
- Trường hợp liên thông thủ tục đăng ký khai tử, hưởng mai táng phí đối với đối tượng người có công với cách mạng từ trần: Tổng thời gian là 33 ngày, trong đó thời gian giải quyết là 25 ngày; thời gian chuyển hồ sơ là 08 ngày.
- Trường hợp liên thông thủ tục đăng ký khai tử, hỗ trợ chi phí mai táng cho đối tượng bảo trợ xã hội (được trợ giúp xã hội thường xuyên tại cộng đồng): Tổng thời gian là 12 ngày, trong đó thời gian giải quyết là 08 ngày; thời gian chuyển hồ sơ là 04 ngày.
- Trường hợp liên thông thủ tục đăng ký khai tử, hưởng mai táng phí đối với đối tượng thân nhân liệt sĩ đang hưởng trợ cấp hàng tháng; người trực tiếp tham gia kháng chiến chống Mỹ cứu nước nhưng chưa được hưởng chính sách của Đảng, nhà nước theo Quyết định số 290/2005/QĐ-TTg ngày 08/11/2005; Quyết định số 188/2007/QĐ-TTg ngày 06/12/2007: Tổng thời gian là 48 ngày, trong đó thời gian giải quyết là 40 ngày; thời gian chuyển hồ sơ là 08 ngày.
- Trường hợp liên thông thủ tục đăng ký khai tử, hưởng mai táng phí đối với đối tượng thực hiện theo Nghị định số 150/2006/NĐ-CP ngày 12/12/2006 hướng dẫn thi hành một số điều của Pháp lệnh Cựu chiến binh: Tổng thời gian là 30 ngày, trong đó thời gian giải quyết là 24 ngày; thời gian chuyển hồ sơ là 06 ngày.
- Trường hợp liên thông thủ tục đăng ký khai tử, hưởng mai táng phí đối với đối tượng hưởng trợ cấp theo Quyết định số 62/2011/QĐ-TTg ngày 09/11/2011 về chế độ, chính sách đối với đối tượng tham gia chiến tranh bảo vệ tổ quốc, làm nhiệm vụ quốc tế ở Cam-pu-chi-a, giúp nước bạn Lào sau ngày 30 tháng 4 năm 1975 đã phục viên, xuất ngũ, thôi việc: Tổng thời gian là 34 ngày, trong đó thời gian giải quyết là 26 ngày; thời gian chuyển hồ sơ là 08 ngày.
- Trường hợp liên thông thủ tục đăng ký khai tử, hưởng mai táng phí đối với đối tượng hưởng trợ cấp theo Quyết định số 49/2015/QĐ-TTg ngày 14/10/2015 của Thủ tướng Chính phủ về một số chế độ, chính sách đối với dân công hỏa tuyến tham gia kháng chiến chống Pháp, chống Mỹ, chiến tranh bảo vệ Tổ quốc và làm nghĩa vụ quốc tế: Tổng thời gian là 34 ngày, trong đó thời gian giải quyết là 26 ngày; thời gian chuyển hồ sơ là 08 ngày.</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Hồ sơ hưởng chế độ tử tuất (trợ cấp tuất và trợ cấp mai táng):</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Sổ bảo hiểm xã hội (bản chính) của người tham gia bảo hiểm xã hội tự nguyện, người bảo lưu thời gian đóng bảo hiểm xã hội và người chờ đủ điều kiện về tuổi đời để hưởng lương hưu, trợ cấp hàng tháng bị chết;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giấy chứng tử hoặc trích lục khai tử;</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Tờ khai của thân nhân theo mẫu;</w:t>
            </w:r>
          </w:p>
        </w:tc>
        <w:tc>
          <w:p/>
          <w:p>
            <w:pPr>
              <w:spacing w:after="0" w:before="0" w:lineRule="auto" w:line="276"/>
              <w:jc w:val="left"/>
            </w:pPr>
            <w:r>
              <w:rPr>
                <w:rFonts w:ascii="Times New Roman" w:hAnsi="Times New Roman" w:cs="Times New Roman" w:eastAsia="Times New Roman"/>
                <w:b w:val="false"/>
                <w:sz w:val="26"/>
              </w:rPr>
              <w:t>BM.KT-MTP-TT.03.02.docx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Biên bản họp của các thân nhân đối với trường hợp đủ điều kiện hưởng trợ cấp tuất hàng tháng nhưng chọn hưởng trợ cấp tuất một lần theo mẫu; trường hợp chỉ có một thân nhân đủ điều kiện hưởng trợ cấp tuất hàng tháng hoặc nhiều thân nhân đủ điều kiện hưởng trợ cấp tuất hàng tháng nhưng chỉ có một người đại diện hợp pháp mà lựa chọn hưởng trợ cấp tuất một lần thì thân nhân lựa chọn hưởng trợ cấp tuất một lần hoặc người đại diện hợp pháp của thân nhân chịu trách nhiệm về việc lựa chọn và không cần biên bản này;</w:t>
            </w:r>
          </w:p>
        </w:tc>
        <w:tc>
          <w:p/>
          <w:p>
            <w:pPr>
              <w:spacing w:after="0" w:before="0" w:lineRule="auto" w:line="276"/>
              <w:jc w:val="left"/>
            </w:pPr>
            <w:r>
              <w:rPr>
                <w:rFonts w:ascii="Times New Roman" w:hAnsi="Times New Roman" w:cs="Times New Roman" w:eastAsia="Times New Roman"/>
                <w:b w:val="false"/>
                <w:sz w:val="26"/>
              </w:rPr>
              <w:t>BM.KT-MTP-TT.03.03.docx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Biên bản giám định mức suy giảm khả năng lao động đối với thân nhân bị suy giảm khả năng lao động từ 81% trở lên hoặc Giấy xác nhận khuyết tật mức độ đặc biệt nặng (tương đương mức suy giảm khả năng lao động từ 81% trở lên) theo quy định tại Thông tư số 37/2012/TTLT-BLĐTBXH-BYT-BTC-BGDĐT trong trường hợp hưởng trợ cấp tuất hàng tháng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ủy quyền (nếu đối tượng đã từ trần có nhiều thân nhân).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Hồ sơ hưởng mai táng phí đối với đối tượng hưởng trợ cấp theo Quyết định số 49/2015/QĐ-TTg ngày 14/10/2015 của Thủ tướng Chính phủ về một số chế độ, chính sách đối với dân công hỏa tuyến tham gia kháng chiến chống Pháp, chống Mỹ, chiến tranh bảo vệ Tổ quốc và làm nghĩa vụ Quốc tế:</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trích sao quyết định của đối tượng từ trần đã được hưởng chế độ trợ cấp một lần;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chứng tử hoặc bản sao trích lục khai tử.</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 Hồ sơ hưởng mai táng phí đối với đối tượng hưởng trợ cấp theo Quyết định số 62/2011/QĐ-TTg ngày 09/11/2011 về chế độ, chính sách đối với đối tượng tham gia chiến tranh bảo vệ tổ quốc, làm nhiệm vụ quốc tế ở Cam-pu-chi-a, giúp nước bạn Lào sau ngày 30/4/1975 đã phục viên, xuất ngũ, thôi việc:</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khai của thân nhân đối tượng có xác nhận của chính quyền địa phương xã, phường nơi cư trú (theo mẫu quy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Biên bản họp gia đình đối với trường hợp không còn bố, mẹ, vợ hoặc chồng;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chứng tử (đối với đối tượng đã từ trần) bản sao có chứng thực, hoặc bản sao trích lục khai tử.</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trích sao quyết định kèm theo danh sách trang có tên đối tượng hưởng trợ cấp 01 lần theo Quyết định số 62/2011/QĐ-TTg của Thủ tướng Chính phủ (Ban CHQS huyện, thành phố ký sao đối với đối tượng do quân đội giải quyết, Phòng Lao động - Thương binh và Xã hội ký sao đối với đối tượng thuộc UBND tỉnh giải quyết);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Công văn đề nghị của Phòng Lao động - Thương binh và Xã hội huyện, thành phố kèm theo danh sách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Hồ sơ hưởng mai táng phí đối với đối tượng người có công với cách mạng từ trần:</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khai của đại diện thân nhân (kèm biên bản ủy quyền) hoặc người tổ chức mai táng (theo mẫu quy định);</w:t>
            </w:r>
          </w:p>
        </w:tc>
        <w:tc>
          <w:p/>
          <w:p>
            <w:pPr>
              <w:spacing w:after="0" w:before="0" w:lineRule="auto" w:line="276"/>
              <w:jc w:val="left"/>
            </w:pPr>
            <w:r>
              <w:rPr>
                <w:rFonts w:ascii="Times New Roman" w:hAnsi="Times New Roman" w:cs="Times New Roman" w:eastAsia="Times New Roman"/>
                <w:b w:val="false"/>
                <w:sz w:val="26"/>
              </w:rPr>
              <w:t>BM.KT-MTP-TT.03.04.docx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Giấy chứng tử hoặc trích lục khai tử;</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Hồ sơ của người có công với cách mạng.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Hồ sơ hưởng mai táng phí đối với đối tượng thân nhân liệt sĩ đang hưởng trợ cấp hàng tháng; người trực tiếp tham gia kháng chiến chống Mỹ cứu nước nhưng chưa được hưởng chính sách của Đảng, nhà nước theo Quyết định số 290/2005/QĐ-TTg ngày 08/11/2005, Quyết định số 188/2007/QĐ-TTg ngày 06/12/2007:</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của thân nhân đối tượng có xác nhận của chính quyền địa phương xã (phường) nơi cư trú;</w:t>
            </w:r>
          </w:p>
        </w:tc>
        <w:tc>
          <w:p/>
          <w:p>
            <w:pPr>
              <w:spacing w:after="0" w:before="0" w:lineRule="auto" w:line="276"/>
              <w:jc w:val="left"/>
            </w:pPr>
            <w:r>
              <w:rPr>
                <w:rFonts w:ascii="Times New Roman" w:hAnsi="Times New Roman" w:cs="Times New Roman" w:eastAsia="Times New Roman"/>
                <w:b w:val="false"/>
                <w:sz w:val="26"/>
              </w:rPr>
              <w:t>BM.KT-MTP-TT.03.05.docx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giấy chứng tử hoặc trích lục khai tử.</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Công văn đề nghị của UBND xã (phường) nơi đối tượng cư trú (theo mẫu quy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trích sao danh sách đề nghị hưởng chế độ một lần theo Quyết định số 290/2005/QĐ-TTg ngày 08/11/2005 hoặc bản sao một trong các quyết định được hưởng trợ cấp một lần (phục viên, xuất ngũ, thôi việc; trợ cấp một lần) hoặc bản sao quyết định hưởng chế độ bảo hiểm y tế theo quy định tại Thông tư liên tịch số 191/2005/TTLT/BQP-BLĐTBXH-BTC;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Công văn đề nghị của Chủ tịch UBND huyện, thành phố, thị xã, kèm theo danh sách đối tượng được hưởng chế độ mai táng phí (theo mẫu quy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Danh sách tổng hợp của Sở Lao động - Thương binh và Xã hội (theo mẫu) gửi Chủ tịch UBND tỉnh để ra Quyết định hưởng chế độ mai táng phí (theo mẫu quy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Hồ sơ hưởng mai táng phí đối với đối tượng thực hiện theo Nghị định số 150/2006/NĐ-CP ngày 12/12/2006 hướng dẫn thi hành một số điều của Pháp lệnh cựu chiến binh: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Thân nhân người chết làm bản khai đề nghị hưởng chế độ mai táng phí gửi Hội Cựu chiến binh cấp xã (theo mẫu quy định).</w:t>
            </w:r>
          </w:p>
        </w:tc>
        <w:tc>
          <w:p/>
          <w:p>
            <w:pPr>
              <w:spacing w:after="0" w:before="0" w:lineRule="auto" w:line="276"/>
              <w:jc w:val="left"/>
            </w:pPr>
            <w:r>
              <w:rPr>
                <w:rFonts w:ascii="Times New Roman" w:hAnsi="Times New Roman" w:cs="Times New Roman" w:eastAsia="Times New Roman"/>
                <w:b w:val="false"/>
                <w:sz w:val="26"/>
              </w:rPr>
              <w:t>BM.KT-MTP-TT.03.06.docx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người chết không còn thân nhân thì cơ quan, tổ chức, đơn vị đứng ra tổ chức mai táng làm bản khai đề nghị hưởng chế độ mai táng phí gửi Hội Cựu chiến binh cấp xã (theo mẫu quy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 Hồ sơ hỗ trợ chi phí mai táng cho đối tượng bảo trợ xã hội (được trợ giúp xã hội thường xuyên tại cộng đồng):</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hoặc đơn đề nghị của cơ quan, tổ chức, hộ gia đình hoặc cá nhân đứng ra tổ chức mai táng cho đối tượng;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Giấy chứng tử hoặc trích lục khai tử;</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quyết định hưởng trợ cấp xã hội của người đơn thân đang nuôi con và bản sao giấy khai sinh hoặc bản sao trích lục khai sinh của người con bị chết đối với trường hợp là con của người đơn thân nghèo quy định tại Khoản 4 Điều 5 Nghị định số 136/2013/NĐ-CP;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Sổ hộ khẩu hoặc văn bản xác nhận của công an cấp xã, bản sao quyết định thôi hưởng trợ cấp bảo hiểm xã hội, trợ cấp khác của cơ quan có thẩm quyền đối với trường hợp là người từ đủ 80 tuổi trở lên đang hưởng trợ cấp tuất bảo hiểm xã hội hàng tháng, trợ cấp hàng tháng khác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 Hồ sơ đăng ký khai tử:</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chính một trong các giấy tờ là hộ chiếu, hoặc chứng minh nhân dân, hoặc thẻ căn cước công dân, hoặc các giấy tờ khác có dán ảnh và thông tin cá nhân do cơ quan có thẩm quyền cấp, còn giá trị sử dụng để chứng minh về nhân thân của người có yêu cầu đăng ký khai tử.</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Tờ khai đăng ký khai tử theo mẫu;</w:t>
            </w:r>
          </w:p>
        </w:tc>
        <w:tc>
          <w:p/>
          <w:p>
            <w:pPr>
              <w:spacing w:after="0" w:before="0" w:lineRule="auto" w:line="276"/>
              <w:jc w:val="left"/>
            </w:pPr>
            <w:r>
              <w:rPr>
                <w:rFonts w:ascii="Times New Roman" w:hAnsi="Times New Roman" w:cs="Times New Roman" w:eastAsia="Times New Roman"/>
                <w:b w:val="false"/>
                <w:sz w:val="26"/>
              </w:rPr>
              <w:t>BM.KT-MTP-TT.03.01.docx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báo tử hoặc giấy tờ thay cho Giấy báo tử theo quy định tại Điều 34 Luật Hộ tịch và khoản 2 Điều 4 Nghị định số 123/2015/NĐ-CP ngày 15/11/2015 của Chính phủ quy định chi tiết một số điều và biện pháp thi hành Luật Hộ tịch, cụ thể: Đối với người chết tại cơ sở y tế thì Thủ trưởng cơ sở y tế cấp Giấy báo tử; đối với người chết do thi hành án tử hình thì Chủ tịch Hội đồng thi hành án tử hình cấp giấy xác nhận việc thi hành án tử hình thay Giấy báo tử; đối với người bị Tòa án tuyên bố là đã chết thì Bản án, quyết định có hiệu lực của Tòa án thay Giấy báo tử; đối với người chết trên phương tiện giao thông, chết do tai nạn, bị giết, chết đột ngột hoặc chết có nghi vấn thì văn bản xác nhận của cơ quan công an hoặc kết quả giám định của Cơ quan giám định pháp y thay Giấy báo tử. Giấy báo tử do UBND cấp xã nơi người đó chết cấp nếu không thuộc các trường hợp chết nêu trên.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tử, các quyết định cho hưởng chế độ mai táng phí, hỗ trợ chi phí mai táng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58/2014/QH13</w:t>
            </w:r>
          </w:p>
        </w:tc>
        <w:tc>
          <w:p/>
          <w:p>
            <w:pPr>
              <w:spacing w:after="0" w:before="0" w:lineRule="auto" w:line="276"/>
              <w:jc w:val="left"/>
            </w:pPr>
            <w:r>
              <w:rPr>
                <w:rFonts w:ascii="Times New Roman" w:hAnsi="Times New Roman" w:cs="Times New Roman" w:eastAsia="Times New Roman"/>
                <w:b w:val="false"/>
                <w:sz w:val="26"/>
              </w:rPr>
              <w:t>Luật 58/2014/QH13</w:t>
            </w:r>
          </w:p>
        </w:tc>
        <w:tc>
          <w:p/>
          <w:p>
            <w:pPr>
              <w:spacing w:after="0" w:before="0" w:lineRule="auto" w:line="276"/>
              <w:jc w:val="left"/>
            </w:pPr>
            <w:r>
              <w:rPr>
                <w:rFonts w:ascii="Times New Roman" w:hAnsi="Times New Roman" w:cs="Times New Roman" w:eastAsia="Times New Roman"/>
                <w:b w:val="false"/>
                <w:sz w:val="26"/>
              </w:rPr>
              <w:t>20-11-2014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134/2015/NĐ-CP</w:t>
            </w:r>
          </w:p>
        </w:tc>
        <w:tc>
          <w:p/>
          <w:p>
            <w:pPr>
              <w:spacing w:after="0" w:before="0" w:lineRule="auto" w:line="276"/>
              <w:jc w:val="left"/>
            </w:pPr>
            <w:r>
              <w:rPr>
                <w:rFonts w:ascii="Times New Roman" w:hAnsi="Times New Roman" w:cs="Times New Roman" w:eastAsia="Times New Roman"/>
                <w:b w:val="false"/>
                <w:sz w:val="26"/>
              </w:rPr>
              <w:t>Nghị định 134/2015/NĐ-CP</w:t>
            </w:r>
          </w:p>
        </w:tc>
        <w:tc>
          <w:p/>
          <w:p>
            <w:pPr>
              <w:spacing w:after="0" w:before="0" w:lineRule="auto" w:line="276"/>
              <w:jc w:val="left"/>
            </w:pPr>
            <w:r>
              <w:rPr>
                <w:rFonts w:ascii="Times New Roman" w:hAnsi="Times New Roman" w:cs="Times New Roman" w:eastAsia="Times New Roman"/>
                <w:b w:val="false"/>
                <w:sz w:val="26"/>
              </w:rPr>
              <w:t>29-12-2015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01/2016/TT-BLĐTBXH</w:t>
            </w:r>
          </w:p>
        </w:tc>
        <w:tc>
          <w:p/>
          <w:p>
            <w:pPr>
              <w:spacing w:after="0" w:before="0" w:lineRule="auto" w:line="276"/>
              <w:jc w:val="left"/>
            </w:pPr>
            <w:r>
              <w:rPr>
                <w:rFonts w:ascii="Times New Roman" w:hAnsi="Times New Roman" w:cs="Times New Roman" w:eastAsia="Times New Roman"/>
                <w:b w:val="false"/>
                <w:sz w:val="26"/>
              </w:rPr>
              <w:t>Thông tư 01/2016/TT-BLĐTBXH</w:t>
            </w:r>
          </w:p>
        </w:tc>
        <w:tc>
          <w:p/>
          <w:p>
            <w:pPr>
              <w:spacing w:after="0" w:before="0" w:lineRule="auto" w:line="276"/>
              <w:jc w:val="left"/>
            </w:pPr>
            <w:r>
              <w:rPr>
                <w:rFonts w:ascii="Times New Roman" w:hAnsi="Times New Roman" w:cs="Times New Roman" w:eastAsia="Times New Roman"/>
                <w:b w:val="false"/>
                <w:sz w:val="26"/>
              </w:rPr>
              <w:t>18-02-2016</w:t>
            </w:r>
          </w:p>
        </w:tc>
        <w:tc>
          <w:p/>
          <w:p>
            <w:pPr>
              <w:spacing w:after="0" w:before="0" w:lineRule="auto" w:line="276"/>
              <w:jc w:val="left"/>
            </w:pPr>
            <w:r>
              <w:rPr>
                <w:rFonts w:ascii="Times New Roman" w:hAnsi="Times New Roman" w:cs="Times New Roman" w:eastAsia="Times New Roman"/>
                <w:b w:val="false"/>
                <w:sz w:val="26"/>
              </w:rPr>
              <w:t>Bộ Lao động - Thương binh và Xã hội</w:t>
            </w:r>
          </w:p>
        </w:tc>
      </w:tr>
      <w:tr>
        <w:tc>
          <w:p/>
          <w:p>
            <w:pPr>
              <w:spacing w:after="0" w:before="0" w:lineRule="auto" w:line="276"/>
              <w:jc w:val="left"/>
            </w:pPr>
            <w:r>
              <w:rPr>
                <w:rFonts w:ascii="Times New Roman" w:hAnsi="Times New Roman" w:cs="Times New Roman" w:eastAsia="Times New Roman"/>
                <w:b w:val="false"/>
                <w:sz w:val="26"/>
              </w:rPr>
              <w:t>33/2016/NĐ-CP</w:t>
            </w:r>
          </w:p>
        </w:tc>
        <w:tc>
          <w:p/>
          <w:p>
            <w:pPr>
              <w:spacing w:after="0" w:before="0" w:lineRule="auto" w:line="276"/>
              <w:jc w:val="left"/>
            </w:pPr>
            <w:r>
              <w:rPr>
                <w:rFonts w:ascii="Times New Roman" w:hAnsi="Times New Roman" w:cs="Times New Roman" w:eastAsia="Times New Roman"/>
                <w:b w:val="false"/>
                <w:sz w:val="26"/>
              </w:rPr>
              <w:t>Nghị định 33/2016/NĐ-CP-Quy định chi tiết và hướng dẫn thi hành một số điều của Luật Bảo hiểm xã hội về bảo hiểm xã hội bắt buộc đối với quân nhân, công an nhân dân và người làm công tác cơ yếu hưởng lương như đối với quân nhân</w:t>
            </w:r>
          </w:p>
        </w:tc>
        <w:tc>
          <w:p/>
          <w:p>
            <w:pPr>
              <w:spacing w:after="0" w:before="0" w:lineRule="auto" w:line="276"/>
              <w:jc w:val="left"/>
            </w:pPr>
            <w:r>
              <w:rPr>
                <w:rFonts w:ascii="Times New Roman" w:hAnsi="Times New Roman" w:cs="Times New Roman" w:eastAsia="Times New Roman"/>
                <w:b w:val="false"/>
                <w:sz w:val="26"/>
              </w:rPr>
              <w:t>10-05-2016</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60/2014/QH13</w:t>
            </w:r>
          </w:p>
        </w:tc>
        <w:tc>
          <w:p/>
          <w:p>
            <w:pPr>
              <w:spacing w:after="0" w:before="0" w:lineRule="auto" w:line="276"/>
              <w:jc w:val="left"/>
            </w:pPr>
            <w:r>
              <w:rPr>
                <w:rFonts w:ascii="Times New Roman" w:hAnsi="Times New Roman" w:cs="Times New Roman" w:eastAsia="Times New Roman"/>
                <w:b w:val="false"/>
                <w:sz w:val="26"/>
              </w:rPr>
              <w:t>Luật 60/2014/QH13-Hộ tịch</w:t>
            </w:r>
          </w:p>
        </w:tc>
        <w:tc>
          <w:p/>
          <w:p>
            <w:pPr>
              <w:spacing w:after="0" w:before="0" w:lineRule="auto" w:line="276"/>
              <w:jc w:val="left"/>
            </w:pPr>
            <w:r>
              <w:rPr>
                <w:rFonts w:ascii="Times New Roman" w:hAnsi="Times New Roman" w:cs="Times New Roman" w:eastAsia="Times New Roman"/>
                <w:b w:val="false"/>
                <w:sz w:val="26"/>
              </w:rPr>
              <w:t>20-11-2014</w:t>
            </w:r>
          </w:p>
        </w:tc>
        <w:tc>
          <w:p/>
        </w:tc>
      </w:tr>
      <w:tr>
        <w:tc>
          <w:p/>
          <w:p>
            <w:pPr>
              <w:spacing w:after="0" w:before="0" w:lineRule="auto" w:line="276"/>
              <w:jc w:val="left"/>
            </w:pPr>
            <w:r>
              <w:rPr>
                <w:rFonts w:ascii="Times New Roman" w:hAnsi="Times New Roman" w:cs="Times New Roman" w:eastAsia="Times New Roman"/>
                <w:b w:val="false"/>
                <w:sz w:val="26"/>
              </w:rPr>
              <w:t>26/2016/NQ-HĐND</w:t>
            </w:r>
          </w:p>
        </w:tc>
        <w:tc>
          <w:p/>
          <w:p>
            <w:pPr>
              <w:spacing w:after="0" w:before="0" w:lineRule="auto" w:line="276"/>
              <w:jc w:val="left"/>
            </w:pPr>
            <w:r>
              <w:rPr>
                <w:rFonts w:ascii="Times New Roman" w:hAnsi="Times New Roman" w:cs="Times New Roman" w:eastAsia="Times New Roman"/>
                <w:b w:val="false"/>
                <w:sz w:val="26"/>
              </w:rPr>
              <w:t>Nghị quyết 26/2016/NQ-HĐND của HĐND tỉnh Hà Tĩnh Quy định về mức thu, miễn, giảm, thu, nộp, quản lý và sử dụng các khoản phí, lệ phí thuộc thẩm quyền của Hội đồng nhân dân tỉnh trên địa bàn tỉnh Hà Tĩnh</w:t>
            </w:r>
          </w:p>
        </w:tc>
        <w:tc>
          <w:p/>
          <w:p>
            <w:pPr>
              <w:spacing w:after="0" w:before="0" w:lineRule="auto" w:line="276"/>
              <w:jc w:val="left"/>
            </w:pPr>
            <w:r>
              <w:rPr>
                <w:rFonts w:ascii="Times New Roman" w:hAnsi="Times New Roman" w:cs="Times New Roman" w:eastAsia="Times New Roman"/>
                <w:b w:val="false"/>
                <w:sz w:val="26"/>
              </w:rPr>
              <w:t>15-12-2016</w:t>
            </w:r>
          </w:p>
        </w:tc>
        <w:tc>
          <w:p/>
          <w:p>
            <w:pPr>
              <w:spacing w:after="0" w:before="0" w:lineRule="auto" w:line="276"/>
              <w:jc w:val="left"/>
            </w:pPr>
            <w:r>
              <w:rPr>
                <w:rFonts w:ascii="Times New Roman" w:hAnsi="Times New Roman" w:cs="Times New Roman" w:eastAsia="Times New Roman"/>
                <w:b w:val="false"/>
                <w:sz w:val="26"/>
              </w:rPr>
              <w:t>Hội đồng nhân dân tỉnh</w:t>
            </w:r>
          </w:p>
        </w:tc>
      </w:tr>
      <w:tr>
        <w:tc>
          <w:p/>
          <w:p>
            <w:pPr>
              <w:spacing w:after="0" w:before="0" w:lineRule="auto" w:line="276"/>
              <w:jc w:val="left"/>
            </w:pPr>
            <w:r>
              <w:rPr>
                <w:rFonts w:ascii="Times New Roman" w:hAnsi="Times New Roman" w:cs="Times New Roman" w:eastAsia="Times New Roman"/>
                <w:b w:val="false"/>
                <w:sz w:val="26"/>
              </w:rPr>
              <w:t>15/2015/TT-BTP</w:t>
            </w:r>
          </w:p>
        </w:tc>
        <w:tc>
          <w:p/>
          <w:p>
            <w:pPr>
              <w:spacing w:after="0" w:before="0" w:lineRule="auto" w:line="276"/>
              <w:jc w:val="left"/>
            </w:pPr>
            <w:r>
              <w:rPr>
                <w:rFonts w:ascii="Times New Roman" w:hAnsi="Times New Roman" w:cs="Times New Roman" w:eastAsia="Times New Roman"/>
                <w:b w:val="false"/>
                <w:sz w:val="26"/>
              </w:rPr>
              <w:t>Quy định chi tiết thi hành một số điều của Luật Hộ tịch và Nghị định số 123/2015/NĐ-CP ngày 15 tháng 01 năm 2015 của Chính phủ quy định chi tiết một số điều và biện pháp thi hành Luật Hộ tịch</w:t>
            </w:r>
          </w:p>
        </w:tc>
        <w:tc>
          <w:p/>
          <w:p>
            <w:pPr>
              <w:spacing w:after="0" w:before="0" w:lineRule="auto" w:line="276"/>
              <w:jc w:val="left"/>
            </w:pPr>
            <w:r>
              <w:rPr>
                <w:rFonts w:ascii="Times New Roman" w:hAnsi="Times New Roman" w:cs="Times New Roman" w:eastAsia="Times New Roman"/>
                <w:b w:val="false"/>
                <w:sz w:val="26"/>
              </w:rPr>
              <w:t>16-11-2015</w:t>
            </w:r>
          </w:p>
        </w:tc>
        <w:tc>
          <w:p/>
          <w:p>
            <w:pPr>
              <w:spacing w:after="0" w:before="0" w:lineRule="auto" w:line="276"/>
              <w:jc w:val="left"/>
            </w:pPr>
            <w:r>
              <w:rPr>
                <w:rFonts w:ascii="Times New Roman" w:hAnsi="Times New Roman" w:cs="Times New Roman" w:eastAsia="Times New Roman"/>
                <w:b w:val="false"/>
                <w:sz w:val="26"/>
              </w:rPr>
              <w:t>Bộ Tư pháp</w:t>
            </w:r>
          </w:p>
        </w:tc>
      </w:tr>
      <w:tr>
        <w:tc>
          <w:p/>
          <w:p>
            <w:pPr>
              <w:spacing w:after="0" w:before="0" w:lineRule="auto" w:line="276"/>
              <w:jc w:val="left"/>
            </w:pPr>
            <w:r>
              <w:rPr>
                <w:rFonts w:ascii="Times New Roman" w:hAnsi="Times New Roman" w:cs="Times New Roman" w:eastAsia="Times New Roman"/>
                <w:b w:val="false"/>
                <w:sz w:val="26"/>
              </w:rPr>
              <w:t>59/2015/TT-BLĐTBXH</w:t>
            </w:r>
          </w:p>
        </w:tc>
        <w:tc>
          <w:p/>
          <w:p>
            <w:pPr>
              <w:spacing w:after="0" w:before="0" w:lineRule="auto" w:line="276"/>
              <w:jc w:val="left"/>
            </w:pPr>
            <w:r>
              <w:rPr>
                <w:rFonts w:ascii="Times New Roman" w:hAnsi="Times New Roman" w:cs="Times New Roman" w:eastAsia="Times New Roman"/>
                <w:b w:val="false"/>
                <w:sz w:val="26"/>
              </w:rPr>
              <w:t>Quy định chi tiết và hướng dẫn thi hành một số điều của Luật Bảo hiểm Xã hội và bảo hiểm xã hội bắt buộc</w:t>
            </w:r>
          </w:p>
        </w:tc>
        <w:tc>
          <w:p/>
          <w:p>
            <w:pPr>
              <w:spacing w:after="0" w:before="0" w:lineRule="auto" w:line="276"/>
              <w:jc w:val="left"/>
            </w:pPr>
            <w:r>
              <w:rPr>
                <w:rFonts w:ascii="Times New Roman" w:hAnsi="Times New Roman" w:cs="Times New Roman" w:eastAsia="Times New Roman"/>
                <w:b w:val="false"/>
                <w:sz w:val="26"/>
              </w:rPr>
              <w:t>29-12-2015</w:t>
            </w:r>
          </w:p>
        </w:tc>
        <w:tc>
          <w:p/>
          <w:p>
            <w:pPr>
              <w:spacing w:after="0" w:before="0" w:lineRule="auto" w:line="276"/>
              <w:jc w:val="left"/>
            </w:pPr>
            <w:r>
              <w:rPr>
                <w:rFonts w:ascii="Times New Roman" w:hAnsi="Times New Roman" w:cs="Times New Roman" w:eastAsia="Times New Roman"/>
                <w:b w:val="false"/>
                <w:sz w:val="26"/>
              </w:rPr>
              <w:t>Bộ Lao động - Thương binh và Xã hội</w:t>
            </w:r>
          </w:p>
        </w:tc>
      </w:tr>
      <w:tr>
        <w:tc>
          <w:p/>
          <w:p>
            <w:pPr>
              <w:spacing w:after="0" w:before="0" w:lineRule="auto" w:line="276"/>
              <w:jc w:val="left"/>
            </w:pPr>
            <w:r>
              <w:rPr>
                <w:rFonts w:ascii="Times New Roman" w:hAnsi="Times New Roman" w:cs="Times New Roman" w:eastAsia="Times New Roman"/>
                <w:b w:val="false"/>
                <w:sz w:val="26"/>
              </w:rPr>
              <w:t>166/QĐ-BHXH</w:t>
            </w:r>
          </w:p>
        </w:tc>
        <w:tc>
          <w:p/>
          <w:p>
            <w:pPr>
              <w:spacing w:after="0" w:before="0" w:lineRule="auto" w:line="276"/>
              <w:jc w:val="left"/>
            </w:pPr>
            <w:r>
              <w:rPr>
                <w:rFonts w:ascii="Times New Roman" w:hAnsi="Times New Roman" w:cs="Times New Roman" w:eastAsia="Times New Roman"/>
                <w:b w:val="false"/>
                <w:sz w:val="26"/>
              </w:rPr>
              <w:t>Ban hành Quy trình giải quyết hưởng các chế độ Bảo hiểm xã hội , chi trả các chế độ HXH, BHTN</w:t>
            </w:r>
          </w:p>
        </w:tc>
        <w:tc>
          <w:p/>
          <w:p>
            <w:pPr>
              <w:spacing w:after="0" w:before="0" w:lineRule="auto" w:line="276"/>
              <w:jc w:val="left"/>
            </w:pPr>
            <w:r>
              <w:rPr>
                <w:rFonts w:ascii="Times New Roman" w:hAnsi="Times New Roman" w:cs="Times New Roman" w:eastAsia="Times New Roman"/>
                <w:b w:val="false"/>
                <w:sz w:val="26"/>
              </w:rPr>
              <w:t>31-01-2019</w:t>
            </w:r>
          </w:p>
        </w:tc>
        <w:tc>
          <w:p/>
          <w:p>
            <w:pPr>
              <w:spacing w:after="0" w:before="0" w:lineRule="auto" w:line="276"/>
              <w:jc w:val="left"/>
            </w:pPr>
            <w:r>
              <w:rPr>
                <w:rFonts w:ascii="Times New Roman" w:hAnsi="Times New Roman" w:cs="Times New Roman" w:eastAsia="Times New Roman"/>
                <w:b w:val="false"/>
                <w:sz w:val="26"/>
              </w:rPr>
              <w:t>Bảo hiểm xã hội Việt Nam</w:t>
            </w:r>
          </w:p>
        </w:tc>
      </w:tr>
      <w:tr>
        <w:tc>
          <w:p/>
          <w:p>
            <w:pPr>
              <w:spacing w:after="0" w:before="0" w:lineRule="auto" w:line="276"/>
              <w:jc w:val="left"/>
            </w:pPr>
            <w:r>
              <w:rPr>
                <w:rFonts w:ascii="Times New Roman" w:hAnsi="Times New Roman" w:cs="Times New Roman" w:eastAsia="Times New Roman"/>
                <w:b w:val="false"/>
                <w:sz w:val="26"/>
              </w:rPr>
              <w:t>115/2015/NĐ-CP</w:t>
            </w:r>
          </w:p>
        </w:tc>
        <w:tc>
          <w:p/>
          <w:p>
            <w:pPr>
              <w:spacing w:after="0" w:before="0" w:lineRule="auto" w:line="276"/>
              <w:jc w:val="left"/>
            </w:pPr>
            <w:r>
              <w:rPr>
                <w:rFonts w:ascii="Times New Roman" w:hAnsi="Times New Roman" w:cs="Times New Roman" w:eastAsia="Times New Roman"/>
                <w:b w:val="false"/>
                <w:sz w:val="26"/>
              </w:rPr>
              <w:t>Nghị định 115/2015/NĐ-CP</w:t>
            </w:r>
          </w:p>
        </w:tc>
        <w:tc>
          <w:p/>
          <w:p>
            <w:pPr>
              <w:spacing w:after="0" w:before="0" w:lineRule="auto" w:line="276"/>
              <w:jc w:val="left"/>
            </w:pPr>
            <w:r>
              <w:rPr>
                <w:rFonts w:ascii="Times New Roman" w:hAnsi="Times New Roman" w:cs="Times New Roman" w:eastAsia="Times New Roman"/>
                <w:b w:val="false"/>
                <w:sz w:val="26"/>
              </w:rPr>
              <w:t>11-11-2015</w:t>
            </w:r>
          </w:p>
        </w:tc>
        <w:tc>
          <w:p/>
        </w:tc>
      </w:tr>
      <w:tr>
        <w:tc>
          <w:p/>
          <w:p>
            <w:pPr>
              <w:spacing w:after="0" w:before="0" w:lineRule="auto" w:line="276"/>
              <w:jc w:val="left"/>
            </w:pPr>
            <w:r>
              <w:rPr>
                <w:rFonts w:ascii="Times New Roman" w:hAnsi="Times New Roman" w:cs="Times New Roman" w:eastAsia="Times New Roman"/>
                <w:b w:val="false"/>
                <w:sz w:val="26"/>
              </w:rPr>
              <w:t>250/QĐ - TTg</w:t>
            </w:r>
          </w:p>
        </w:tc>
        <w:tc>
          <w:p/>
          <w:p>
            <w:pPr>
              <w:spacing w:after="0" w:before="0" w:lineRule="auto" w:line="276"/>
              <w:jc w:val="left"/>
            </w:pPr>
            <w:r>
              <w:rPr>
                <w:rFonts w:ascii="Times New Roman" w:hAnsi="Times New Roman" w:cs="Times New Roman" w:eastAsia="Times New Roman"/>
                <w:b w:val="false"/>
                <w:sz w:val="26"/>
              </w:rPr>
              <w:t>Quyết định số 250/QĐ-TTg Giải quyết chế độ, chính sách</w:t>
            </w:r>
          </w:p>
        </w:tc>
        <w:tc>
          <w:p/>
          <w:p>
            <w:pPr>
              <w:spacing w:after="0" w:before="0" w:lineRule="auto" w:line="276"/>
              <w:jc w:val="left"/>
            </w:pPr>
            <w:r>
              <w:rPr>
                <w:rFonts w:ascii="Times New Roman" w:hAnsi="Times New Roman" w:cs="Times New Roman" w:eastAsia="Times New Roman"/>
                <w:b w:val="false"/>
                <w:sz w:val="26"/>
              </w:rPr>
              <w:t>29-01-2013</w:t>
            </w:r>
          </w:p>
        </w:tc>
        <w:tc>
          <w:p/>
          <w:p>
            <w:pPr>
              <w:spacing w:after="0" w:before="0" w:lineRule="auto" w:line="276"/>
              <w:jc w:val="left"/>
            </w:pPr>
            <w:r>
              <w:rPr>
                <w:rFonts w:ascii="Times New Roman" w:hAnsi="Times New Roman" w:cs="Times New Roman" w:eastAsia="Times New Roman"/>
                <w:b w:val="false"/>
                <w:sz w:val="26"/>
              </w:rPr>
              <w:t>Thủ tướng Chính phủ</w:t>
            </w:r>
          </w:p>
        </w:tc>
      </w:tr>
      <w:tr>
        <w:tc>
          <w:p/>
          <w:p>
            <w:pPr>
              <w:spacing w:after="0" w:before="0" w:lineRule="auto" w:line="276"/>
              <w:jc w:val="left"/>
            </w:pPr>
            <w:r>
              <w:rPr>
                <w:rFonts w:ascii="Times New Roman" w:hAnsi="Times New Roman" w:cs="Times New Roman" w:eastAsia="Times New Roman"/>
                <w:b w:val="false"/>
                <w:sz w:val="26"/>
              </w:rPr>
              <w:t>123/2015/NĐ-CP</w:t>
            </w:r>
          </w:p>
        </w:tc>
        <w:tc>
          <w:p/>
          <w:p>
            <w:pPr>
              <w:spacing w:after="0" w:before="0" w:lineRule="auto" w:line="276"/>
              <w:jc w:val="left"/>
            </w:pPr>
            <w:r>
              <w:rPr>
                <w:rFonts w:ascii="Times New Roman" w:hAnsi="Times New Roman" w:cs="Times New Roman" w:eastAsia="Times New Roman"/>
                <w:b w:val="false"/>
                <w:sz w:val="26"/>
              </w:rPr>
              <w:t>Nghị định 123/2015/NĐ-CP</w:t>
            </w:r>
          </w:p>
        </w:tc>
        <w:tc>
          <w:p/>
          <w:p>
            <w:pPr>
              <w:spacing w:after="0" w:before="0" w:lineRule="auto" w:line="276"/>
              <w:jc w:val="left"/>
            </w:pPr>
            <w:r>
              <w:rPr>
                <w:rFonts w:ascii="Times New Roman" w:hAnsi="Times New Roman" w:cs="Times New Roman" w:eastAsia="Times New Roman"/>
                <w:b w:val="false"/>
                <w:sz w:val="26"/>
              </w:rPr>
              <w:t>15-11-2015</w:t>
            </w:r>
          </w:p>
        </w:tc>
        <w:tc>
          <w:p/>
        </w:tc>
      </w:tr>
      <w:tr>
        <w:tc>
          <w:p/>
          <w:p>
            <w:pPr>
              <w:spacing w:after="0" w:before="0" w:lineRule="auto" w:line="276"/>
              <w:jc w:val="left"/>
            </w:pPr>
            <w:r>
              <w:rPr>
                <w:rFonts w:ascii="Times New Roman" w:hAnsi="Times New Roman" w:cs="Times New Roman" w:eastAsia="Times New Roman"/>
                <w:b w:val="false"/>
                <w:sz w:val="26"/>
              </w:rPr>
              <w:t>84/2015/QH13</w:t>
            </w:r>
          </w:p>
        </w:tc>
        <w:tc>
          <w:p/>
          <w:p>
            <w:pPr>
              <w:spacing w:after="0" w:before="0" w:lineRule="auto" w:line="276"/>
              <w:jc w:val="left"/>
            </w:pPr>
            <w:r>
              <w:rPr>
                <w:rFonts w:ascii="Times New Roman" w:hAnsi="Times New Roman" w:cs="Times New Roman" w:eastAsia="Times New Roman"/>
                <w:b w:val="false"/>
                <w:sz w:val="26"/>
              </w:rPr>
              <w:t>Luật 84/2015/QH13</w:t>
            </w:r>
          </w:p>
        </w:tc>
        <w:tc>
          <w:p/>
          <w:p>
            <w:pPr>
              <w:spacing w:after="0" w:before="0" w:lineRule="auto" w:line="276"/>
              <w:jc w:val="left"/>
            </w:pPr>
            <w:r>
              <w:rPr>
                <w:rFonts w:ascii="Times New Roman" w:hAnsi="Times New Roman" w:cs="Times New Roman" w:eastAsia="Times New Roman"/>
                <w:b w:val="false"/>
                <w:sz w:val="26"/>
              </w:rPr>
              <w:t>26-06-2015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2026-05-16T23:44:45Z</dcterms:created>
  <dc:creator>Apache POI</dc:creator>
</cp:coreProperties>
</file>