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3249/QĐ-BKHCN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yêu cầu hỗ trợ từ Quỹ phát triển khoa học và công nghệ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đã nộp, đóng góp vào Quỹ phát triển khoa học và công nghệ tỉnh, thành phố trực thuộc Trung ương nơi doanh nghiệp đăng ký nộp thuế (sau đây gọi là Quỹ phát triển khoa học và công nghệ cấp tỉnh) theo quy định tại điểm a khoản 5 Điều 11 Nghị định số 95/2014/NĐ-CP ngày 16/8/2014 của Chính phủ quy định về đầu tư và cơ chế tài chính đối với hoạt động khoa học và công nghệ khi có nhiệm vụ khoa học và công nghệ cần sử dụng kinh phí, lập hồ sơ và gửi đến Quỹ phát triển khoa học và công nghệ cấp tỉnh.</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Quỹ phát triển khoa học và công nghệ cấp tỉnh kiểm tra tính đầy đủ, hợp lệ của hồ sơ và thông báo bằng văn bản yêu cầu sửa đổi, bổ sung hồ sơ chưa đầy đủ, hợp lệ (nếu có).</w:t>
      </w:r>
    </w:p>
    <w:p>
      <w:pPr>
        <w:spacing w:after="0" w:before="0" w:lineRule="auto" w:line="276"/>
        <w:jc w:val="both"/>
      </w:pPr>
      <w:r>
        <w:rPr>
          <w:rFonts w:ascii="Times New Roman" w:hAnsi="Times New Roman" w:cs="Times New Roman" w:eastAsia="Times New Roman"/>
          <w:b w:val="false"/>
          <w:sz w:val="26"/>
        </w:rPr>
        <w:t>Bước 3: Trong thời hạn 35 ngày làm việc kể từ ngày nhận được hồ sơ đầy đủ, hợp lệ, Quỹ phát triển khoa học và công nghệ cấp tỉnh xem xét, hỗ trợ cho doanh nghiệp theo quy định. Trường hợp không đồng ý hỗ trợ, Quỹ phát triển khoa học và công nghệ cấp tỉnh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35 ngày làm việc kể từ ngày nhận được hồ sơ hợp lệ.
Doanh nghiệp nộp hồ sơ trực tiếp tại trụ sở Quỹ phát triển khoa học và công nghệ Quỹ phát triển khoa học và công nghệ cấp tỉnh; thực hiện qua dịch vụ công trực tuyến theo quy định của pháp luật hoặc gửi qua hệ thống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35 ngày làm việc kể từ ngày nhận được hồ sơ hợp lệ.
Doanh nghiệp nộp hồ sơ trực tiếp tại trụ sở Quỹ phát triển khoa học và công nghệ Quỹ phát triển khoa học và công nghệ cấp tỉnh; thực hiện qua dịch vụ công trực tuyến theo quy định của pháp luật hoặc gửi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35 ngày làm việc kể từ ngày nhận được hồ sơ hợp lệ.
Doanh nghiệp nộp hồ sơ trực tiếp tại trụ sở Quỹ phát triển khoa học và công nghệ Quỹ phát triển khoa học và công nghệ cấp tỉnh; thực hiện qua dịch vụ công trực tuyến theo quy định của pháp luật hoặc gửi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Quỹ phát triển khoa học và công nghệ cấp tỉnh hỗ trợ kinh phí đã nộp vào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Thuyết minh và dự toán kinh phí thực hiện nhiệm vụ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Quỹ phát triển khoa học và công nghệ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Quỹ phát triển khoa học và công nghệ Quỹ phát triển khoa học và công nghệ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mức hỗ trợ từ Quỹ phát triển khoa học và công nghệ cấp tỉnh cho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95/2014/NĐ-CP</w:t>
            </w:r>
          </w:p>
        </w:tc>
        <w:tc>
          <w:p/>
          <w:p>
            <w:pPr>
              <w:spacing w:after="0" w:before="0" w:lineRule="auto" w:line="276"/>
              <w:jc w:val="left"/>
            </w:pPr>
            <w:r>
              <w:rPr>
                <w:rFonts w:ascii="Times New Roman" w:hAnsi="Times New Roman" w:cs="Times New Roman" w:eastAsia="Times New Roman"/>
                <w:b w:val="false"/>
                <w:sz w:val="26"/>
              </w:rPr>
              <w:t>Nghị định 95/2014/NĐ-CP</w:t>
            </w:r>
          </w:p>
        </w:tc>
        <w:tc>
          <w:p/>
          <w:p>
            <w:pPr>
              <w:spacing w:after="0" w:before="0" w:lineRule="auto" w:line="276"/>
              <w:jc w:val="left"/>
            </w:pPr>
            <w:r>
              <w:rPr>
                <w:rFonts w:ascii="Times New Roman" w:hAnsi="Times New Roman" w:cs="Times New Roman" w:eastAsia="Times New Roman"/>
                <w:b w:val="false"/>
                <w:sz w:val="26"/>
              </w:rPr>
              <w:t>17-10-2014</w:t>
            </w:r>
          </w:p>
        </w:tc>
        <w:tc>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Khoa học và công nghệ ngày 18/6/2013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đã nộp, đóng góp vào Quỹ phát triển khoa học và công nghệ cấp tỉnh theo quy định tại điểm a khoản 5 Điều 11 Nghị định số 95/2014/NĐ-CP ngày 16/8/2014 của Chính phủ quy định về đầu tư và cơ chế tài chính đối với hoạt động khoa học và công nghệ khi có nhiệm vụ khoa học và công nghệ cần sử dụng kinh phí.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yêu cầu hỗ trợ từ Quỹ phát triển khoa học và công nghệ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2026-05-24T16:07:18Z</dcterms:created>
  <dc:creator>Apache POI</dc:creator>
</cp:coreProperties>
</file>