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3925/QĐ-NHNN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lãi suất từ ngân sách nhà nước đối với khoản vay của doanh nghiệp, hợp tác xã, hộ kinh doanh theo Nghị định 31/2022/NĐ-CP ngày 20/5/2022 của Chính phủ</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Các ngân hàng thương mại lập 01 bộ hồ sơ đăng ký kế hoạch hỗ trợ lãi suất từ ngân sách nhà nước cho cả 02 năm 2022, 2023 và chi tiết từng năm theo quy định, gửi Ngân hàng Nhà nước Việt Nam.
+ Bước 2: Ngân hàng Nhà nước Việt Nam tổng hợp kế hoạch hỗ trợ lãi suất của các ngân hàng thương mại, đảm bảo trong phạm vi tổng mức 40.000 tỷ đồng, chi tiết theo từng ngân hàng thương mại và theo từng năm, gửi  Bộ Tài chính.
+ Bước 3: Bộ Kế hoạch và Đầu tư chủ trì báo cáo Chính phủ để trình Ủy ban thường vụ Quốc hội cho phép bổ sung dự toán chi đầu tư phát triển nguồn ngân sách nhà nước thực hiện hỗ trợ lãi suất trong năm 2022 và tổng hợp, bố trí trong dự toán ngân sách nhà nước năm 2023 trình Quốc hội quyết định.
+ Bước 4: Thủ tướng Chính phủ quyết định giao vốn ngân sách trung ương bổ sung kế hoạch đầu tư công năm 2022 cho Ngân hàng Nhà nước Việt Nam. Việc giao kế hoạch đầu tư công năm 2023 thực hiện theo quy định hiện hành.
Ngân hàng Nhà nước Việt Nam thông báo hạn mức hỗ trợ lãi suất cho các ngân hàng thương mại và gửi Bộ Tài chính để phối hợp thực hiện.
+ Bước 5: Trước ngày 20 của tháng đầu tiên hằng quý, ngân hàng thương mại lập 02 bộ hồ sơ gửi đồng thời Ngân hàng Nhà nước Việt Nam, Bộ Tài chính đề nghị thanh toán trước số tiền đã hỗ trợ lãi suất theo quy định của quý trước liền kề; riêng hồ sơ của quý IV hằng năm gửi trước ngày 05 tháng 01 năm kế tiếp.
+ Bước 6: Trong vòng 10 ngày làm việc kể từ ngày nhận được hồ sơ đề nghị thanh toán trước số tiền đã hỗ trợ lãi suất của ngân hàng thương mại hằng quý, Ngân hàng Nhà nước Việt Nam có ý kiến về danh mục hồ sơ, số tiền đề nghị thanh toán trước của ngân hàng thương mại không vượt hạn mức hỗ trợ lãi suất được thông báo, gửi Bộ Tài chính để đề nghị thực hiện thanh toán trước cho ngân hàng thương mại. Riêng hồ sơ của quý IV hằng năm, Ngân hàng Nhà nước Việt Nam có ý kiến gửi Bộ Tài chính trong vòng 05 ngày làm việc kể từ ngày nhận được hồ sơ đề nghị của ngân hàng thương mại.
+ Bước 7: Trong vòng 15 ngày làm việc kể từ ngày nhận được đề nghị của Ngân hàng Nhà nước Việt Nam, Bộ Tài chính thực hiện thanh toán trước cho ngân hàng thương mại số tiền đã hỗ trợ lãi suất theo quy định tại Nghị định này theo hình thức lệnh chi tiền và thông báo cho Ngân hàng Nhà nước Việt Nam để phối hợp thực hiện.
+ Bước 8: Trong quá trình triển khai, Ngân hàng Nhà nước Việt Nam xem xét điều chỉnh hạn mức hỗ trợ lãi suất giữa các ngân hàng thương mại khi cần thiết, gửi Bộ Tài chính để phối hợp thực hiện.
+ Bước 9: Trước ngày 10 tháng 02 năm 2023 (đối với các khoản hỗ trợ lãi suất năm 2022) và trước ngày 10 tháng 02 năm 2024 (đối với các khoản hỗ trợ lãi suất năm 2023), ngân hàng thương mại lập 03 bộ hồ sơ gửi Ngân hàng Nhà nước Việt Nam quyết toán hỗ trợ lãi suất năm theo quy định. 
+ Bước 10: Trong vòng 20 ngày làm việc kể từ ngày nhận được đầy đủ hồ sơ quyết toán hỗ trợ lãi suất năm của các ngân hàng thương mại, Ngân hàng Nhà nước Việt Nam tổng hợp báo cáo quyết toán hỗ trợ lãi suất chi tiết theo từng ngân hàng thương mại theo quy định gửi Kiểm toán Nhà nước để Kiểm toán Nhà nước thực hiện kiểm toán theo quy định tại Luật Kiểm toán Nhà nước và các văn bản pháp luật có liên quan.
+ Bước 11: Kiểm toán nhà nước tổ chức kiểm toán việc thực hiện hỗ trợ lãi suất theo quy định.
+ Bước 12: Trong trường hợp cần thiết, Tổ công tác hỗ trợ lãi suất liên ngành (gồm Ngân hàng Nhà nước Việt Nam, Bộ Tài chính, Bộ Xây dựng) thực hiện kiểm tra hồ sơ của khoản vay được hỗ trợ lãi suất. 
+ Bước 13: Trong vòng 20 ngày làm việc kể từ ngày nhận được kết quả kiểm toán của Kiểm toán nhà nước, căn cứ hồ sơ quyết toán hỗ trợ lãi suất của ngân hàng thương mại, kết quả kiểm toán của Kiểm toán Nhà nước và kết quả kiểm tra hồ sơ của Tổ công tác hỗ trợ lãi suất liên ngành, Ngân hàng Nhà nước Việt Nam tổng hợp báo cáo quyết toán hỗ trợ lãi suất chi tiết theo từng ngân hàng thương mại (theo số liệu đã được kiểm toán) gửi Bộ Tài chính để thẩm định, đồng thời gửi các ngân hàng thương mại để biết.
+ Bước 14: Trước ngày 01 tháng 10 năm kế tiếp năm quyết toán, Ngân hàng Nhà nước Việt Nam có văn bản đề nghị Bộ Tài chính thẩm định báo cáo tổng hợp quyết toán hỗ trợ lãi suất, kèm theo văn bản của Kiểm toán nhà nước về kết quả kiểm toán việc thực hiện hỗ trợ lãi suất năm quyết toán, đồng thời gửi các ngân hàng thương mại để biết.
+ Bước 15: Trong vòng 15 ngày làm việc kể từ ngày nhận được văn bản đề nghị thẩm định báo cáo tổng hợp quyết toán hỗ trợ lãi suất của Ngân hàng Nhà nước Việt Nam, Bộ Tài chính thực hiện thẩm định báo cáo tổng hợp quyết toán hỗ trợ lãi suất.
+ Bước 16: Căn cứ kết quả thẩm định báo cáo tổng hợp quyết toán hỗ trợ lãi suất, Bộ Tài chính có thông báo thẩm định gửi Ngân hàng Nhà nước Việt Nam và ngân hàng thương mại.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Đăng ký kế hoạch hỗ trợ lãi suất: sau khi Ủy ban Thường vụ quốc hội phê duyệt bổ sung dự toán chi đầu tư phát triển năm 2022 và Thủ tướng Chính phủ quyết định giao vốn ngân sách trung ương bổ sung kế hoạch đầu tư công năm 2022 cho Ngân hàng Nhà nước Việt Nam.
+ Thanh toán trước số tiền đã hỗ trợ lãi suất hằng quý: 25 ngày làm việc kể từ ngày Ngân hàng Nhà nước Việt Nam nhận được hồ sơ đề nghị của ngân hàng thương mại.
+ Quyết toán hỗ trợ lãi suất năm: 15 ngày làm việc sau ngày 01 tháng 10 năm kế tiếp năm quyết toán.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Đăng ký kế hoạch hỗ trợ lãi suất: sau khi Ủy ban Thường vụ quốc hội phê duyệt bổ sung dự toán chi đầu tư phát triển năm 2022 và Thủ tướng Chính phủ quyết định giao vốn ngân sách trung ương bổ sung kế hoạch đầu tư công năm 2022 cho Ngân hàng Nhà nước Việt Nam.
+ Thanh toán trước số tiền đã hỗ trợ lãi suất hằng quý: 25 ngày làm việc kể từ ngày Ngân hàng Nhà nước Việt Nam nhận được hồ sơ đề nghị của ngân hàng thương mại.
+ Quyết toán hỗ trợ lãi suất năm: 15 ngày làm việc sau ngày 01 tháng 10 năm kế tiếp năm quyết toán.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kế hoạch hỗ trợ lãi suất: Văn bản đăng ký.</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đề nghị thanh toán trước số tiền đã hỗ trợ lãi suất hằng quý gồm có: Văn bản đề nghị thanh toán trước số tiền đã hỗ trợ lãi suất, Báo cáo về tình hình thực hiện hỗ trợ lãi suất đối với khách hàng của ngân hàng thương mại, Bảng kê chứng từ chứng minh khách hàng đã được hỗ trợ lãi suất trong quý.</w:t>
            </w:r>
          </w:p>
        </w:tc>
        <w:tc>
          <w:p/>
          <w:p>
            <w:pPr>
              <w:spacing w:after="0" w:before="0" w:lineRule="auto" w:line="276"/>
              <w:jc w:val="left"/>
            </w:pPr>
            <w:r>
              <w:rPr>
                <w:rFonts w:ascii="Times New Roman" w:hAnsi="Times New Roman" w:cs="Times New Roman" w:eastAsia="Times New Roman"/>
                <w:b w:val="false"/>
                <w:sz w:val="26"/>
              </w:rPr>
              <w:t>Mẫu số 05.docx</w:t>
            </w:r>
          </w:p>
          <w:p>
            <w:pPr>
              <w:spacing w:after="0" w:before="0" w:lineRule="auto" w:line="276"/>
              <w:jc w:val="left"/>
            </w:pPr>
            <w:r>
              <w:rPr>
                <w:rFonts w:ascii="Times New Roman" w:hAnsi="Times New Roman" w:cs="Times New Roman" w:eastAsia="Times New Roman"/>
                <w:b w:val="false"/>
                <w:sz w:val="26"/>
              </w:rPr>
              <w:t>Mẫu số 02.docx</w:t>
            </w:r>
          </w:p>
          <w:p>
            <w:pPr>
              <w:spacing w:after="0" w:before="0" w:lineRule="auto" w:line="276"/>
              <w:jc w:val="left"/>
            </w:pPr>
            <w:r>
              <w:rPr>
                <w:rFonts w:ascii="Times New Roman" w:hAnsi="Times New Roman" w:cs="Times New Roman" w:eastAsia="Times New Roman"/>
                <w:b w:val="false"/>
                <w:sz w:val="26"/>
              </w:rPr>
              <w:t>Mẫu số 03.docx</w:t>
            </w:r>
          </w:p>
          <w:p>
            <w:pPr>
              <w:spacing w:after="0" w:before="0" w:lineRule="auto" w:line="276"/>
              <w:jc w:val="left"/>
            </w:pPr>
            <w:r>
              <w:rPr>
                <w:rFonts w:ascii="Times New Roman" w:hAnsi="Times New Roman" w:cs="Times New Roman" w:eastAsia="Times New Roman"/>
                <w:b w:val="false"/>
                <w:sz w:val="26"/>
              </w:rPr>
              <w:t>Mẫu số 04.docx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quyết toán hỗ trợ lãi suất năm gồm có: Công văn về việc quyết toán hỗ trợ lãi suất năm, Báo cáo số liệu đề nghị tổng hợp quyết toán hỗ trợ lãi suất, Bảng kê chứng từ chứng minh khách hàng đã được hỗ trợ lãi suất trong năm quyết toán.</w:t>
            </w:r>
          </w:p>
        </w:tc>
        <w:tc>
          <w:p/>
          <w:p>
            <w:pPr>
              <w:spacing w:after="0" w:before="0" w:lineRule="auto" w:line="276"/>
              <w:jc w:val="left"/>
            </w:pPr>
            <w:r>
              <w:rPr>
                <w:rFonts w:ascii="Times New Roman" w:hAnsi="Times New Roman" w:cs="Times New Roman" w:eastAsia="Times New Roman"/>
                <w:b w:val="false"/>
                <w:sz w:val="26"/>
              </w:rPr>
              <w:t>Mẫu số 06.docx</w:t>
            </w:r>
          </w:p>
          <w:p>
            <w:pPr>
              <w:spacing w:after="0" w:before="0" w:lineRule="auto" w:line="276"/>
              <w:jc w:val="left"/>
            </w:pPr>
            <w:r>
              <w:rPr>
                <w:rFonts w:ascii="Times New Roman" w:hAnsi="Times New Roman" w:cs="Times New Roman" w:eastAsia="Times New Roman"/>
                <w:b w:val="false"/>
                <w:sz w:val="26"/>
              </w:rPr>
              <w:t>Mẫu số 07.docx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 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thẩm định báo cáo tổng hợp quyết toán hỗ trợ lãi suất.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76/2015/QH13</w:t>
            </w:r>
          </w:p>
        </w:tc>
        <w:tc>
          <w:p/>
          <w:p>
            <w:pPr>
              <w:spacing w:after="0" w:before="0" w:lineRule="auto" w:line="276"/>
              <w:jc w:val="left"/>
            </w:pPr>
            <w:r>
              <w:rPr>
                <w:rFonts w:ascii="Times New Roman" w:hAnsi="Times New Roman" w:cs="Times New Roman" w:eastAsia="Times New Roman"/>
                <w:b w:val="false"/>
                <w:sz w:val="26"/>
              </w:rPr>
              <w:t>Luật 76/2015/QH13</w:t>
            </w:r>
          </w:p>
        </w:tc>
        <w:tc>
          <w:p/>
          <w:p>
            <w:pPr>
              <w:spacing w:after="0" w:before="0" w:lineRule="auto" w:line="276"/>
              <w:jc w:val="left"/>
            </w:pPr>
            <w:r>
              <w:rPr>
                <w:rFonts w:ascii="Times New Roman" w:hAnsi="Times New Roman" w:cs="Times New Roman" w:eastAsia="Times New Roman"/>
                <w:b w:val="false"/>
                <w:sz w:val="26"/>
              </w:rPr>
              <w:t>19-06-2015</w:t>
            </w:r>
          </w:p>
        </w:tc>
        <w:tc>
          <w:p/>
        </w:tc>
      </w:tr>
      <w:tr>
        <w:tc>
          <w:p/>
          <w:p>
            <w:pPr>
              <w:spacing w:after="0" w:before="0" w:lineRule="auto" w:line="276"/>
              <w:jc w:val="left"/>
            </w:pPr>
            <w:r>
              <w:rPr>
                <w:rFonts w:ascii="Times New Roman" w:hAnsi="Times New Roman" w:cs="Times New Roman" w:eastAsia="Times New Roman"/>
                <w:b w:val="false"/>
                <w:sz w:val="26"/>
              </w:rPr>
              <w:t>47/2019/QH14</w:t>
            </w:r>
          </w:p>
        </w:tc>
        <w:tc>
          <w:p/>
          <w:p>
            <w:pPr>
              <w:spacing w:after="0" w:before="0" w:lineRule="auto" w:line="276"/>
              <w:jc w:val="left"/>
            </w:pPr>
            <w:r>
              <w:rPr>
                <w:rFonts w:ascii="Times New Roman" w:hAnsi="Times New Roman" w:cs="Times New Roman" w:eastAsia="Times New Roman"/>
                <w:b w:val="false"/>
                <w:sz w:val="26"/>
              </w:rPr>
              <w:t>Luật 47/2019/QH14</w:t>
            </w:r>
          </w:p>
        </w:tc>
        <w:tc>
          <w:p/>
          <w:p>
            <w:pPr>
              <w:spacing w:after="0" w:before="0" w:lineRule="auto" w:line="276"/>
              <w:jc w:val="left"/>
            </w:pPr>
            <w:r>
              <w:rPr>
                <w:rFonts w:ascii="Times New Roman" w:hAnsi="Times New Roman" w:cs="Times New Roman" w:eastAsia="Times New Roman"/>
                <w:b w:val="false"/>
                <w:sz w:val="26"/>
              </w:rPr>
              <w:t>22-11-2019</w:t>
            </w:r>
          </w:p>
        </w:tc>
        <w:tc>
          <w:p/>
        </w:tc>
      </w:tr>
      <w:tr>
        <w:tc>
          <w:p/>
          <w:p>
            <w:pPr>
              <w:spacing w:after="0" w:before="0" w:lineRule="auto" w:line="276"/>
              <w:jc w:val="left"/>
            </w:pPr>
            <w:r>
              <w:rPr>
                <w:rFonts w:ascii="Times New Roman" w:hAnsi="Times New Roman" w:cs="Times New Roman" w:eastAsia="Times New Roman"/>
                <w:b w:val="false"/>
                <w:sz w:val="26"/>
              </w:rPr>
              <w:t>83/2015/QH13</w:t>
            </w:r>
          </w:p>
        </w:tc>
        <w:tc>
          <w:p/>
          <w:p>
            <w:pPr>
              <w:spacing w:after="0" w:before="0" w:lineRule="auto" w:line="276"/>
              <w:jc w:val="left"/>
            </w:pPr>
            <w:r>
              <w:rPr>
                <w:rFonts w:ascii="Times New Roman" w:hAnsi="Times New Roman" w:cs="Times New Roman" w:eastAsia="Times New Roman"/>
                <w:b w:val="false"/>
                <w:sz w:val="26"/>
              </w:rPr>
              <w:t>Luật 83/2015/QH13</w:t>
            </w:r>
          </w:p>
        </w:tc>
        <w:tc>
          <w:p/>
          <w:p>
            <w:pPr>
              <w:spacing w:after="0" w:before="0" w:lineRule="auto" w:line="276"/>
              <w:jc w:val="left"/>
            </w:pPr>
            <w:r>
              <w:rPr>
                <w:rFonts w:ascii="Times New Roman" w:hAnsi="Times New Roman" w:cs="Times New Roman" w:eastAsia="Times New Roman"/>
                <w:b w:val="false"/>
                <w:sz w:val="26"/>
              </w:rPr>
              <w:t>26-06-2015</w:t>
            </w:r>
          </w:p>
        </w:tc>
        <w:tc>
          <w:p/>
        </w:tc>
      </w:tr>
      <w:tr>
        <w:tc>
          <w:p/>
          <w:p>
            <w:pPr>
              <w:spacing w:after="0" w:before="0" w:lineRule="auto" w:line="276"/>
              <w:jc w:val="left"/>
            </w:pPr>
            <w:r>
              <w:rPr>
                <w:rFonts w:ascii="Times New Roman" w:hAnsi="Times New Roman" w:cs="Times New Roman" w:eastAsia="Times New Roman"/>
                <w:b w:val="false"/>
                <w:sz w:val="26"/>
              </w:rPr>
              <w:t>39/2019/QH14</w:t>
            </w:r>
          </w:p>
        </w:tc>
        <w:tc>
          <w:p/>
          <w:p>
            <w:pPr>
              <w:spacing w:after="0" w:before="0" w:lineRule="auto" w:line="276"/>
              <w:jc w:val="left"/>
            </w:pPr>
            <w:r>
              <w:rPr>
                <w:rFonts w:ascii="Times New Roman" w:hAnsi="Times New Roman" w:cs="Times New Roman" w:eastAsia="Times New Roman"/>
                <w:b w:val="false"/>
                <w:sz w:val="26"/>
              </w:rPr>
              <w:t>Luật 39/2019/QH14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46/2010/QH12</w:t>
            </w:r>
          </w:p>
        </w:tc>
        <w:tc>
          <w:p/>
          <w:p>
            <w:pPr>
              <w:spacing w:after="0" w:before="0" w:lineRule="auto" w:line="276"/>
              <w:jc w:val="left"/>
            </w:pPr>
            <w:r>
              <w:rPr>
                <w:rFonts w:ascii="Times New Roman" w:hAnsi="Times New Roman" w:cs="Times New Roman" w:eastAsia="Times New Roman"/>
                <w:b w:val="false"/>
                <w:sz w:val="26"/>
              </w:rPr>
              <w:t>Luật 46/2010/QH12</w:t>
            </w:r>
          </w:p>
        </w:tc>
        <w:tc>
          <w:p/>
          <w:p>
            <w:pPr>
              <w:spacing w:after="0" w:before="0" w:lineRule="auto" w:line="276"/>
              <w:jc w:val="left"/>
            </w:pPr>
            <w:r>
              <w:rPr>
                <w:rFonts w:ascii="Times New Roman" w:hAnsi="Times New Roman" w:cs="Times New Roman" w:eastAsia="Times New Roman"/>
                <w:b w:val="false"/>
                <w:sz w:val="26"/>
              </w:rPr>
              <w:t>16-06-2010</w:t>
            </w:r>
          </w:p>
        </w:tc>
        <w:tc>
          <w:p/>
        </w:tc>
      </w:tr>
      <w:tr>
        <w:tc>
          <w:p/>
          <w:p>
            <w:pPr>
              <w:spacing w:after="0" w:before="0" w:lineRule="auto" w:line="276"/>
              <w:jc w:val="left"/>
            </w:pPr>
            <w:r>
              <w:rPr>
                <w:rFonts w:ascii="Times New Roman" w:hAnsi="Times New Roman" w:cs="Times New Roman" w:eastAsia="Times New Roman"/>
                <w:b w:val="false"/>
                <w:sz w:val="26"/>
              </w:rPr>
              <w:t>47/2010/QH12</w:t>
            </w:r>
          </w:p>
        </w:tc>
        <w:tc>
          <w:p/>
          <w:p>
            <w:pPr>
              <w:spacing w:after="0" w:before="0" w:lineRule="auto" w:line="276"/>
              <w:jc w:val="left"/>
            </w:pPr>
            <w:r>
              <w:rPr>
                <w:rFonts w:ascii="Times New Roman" w:hAnsi="Times New Roman" w:cs="Times New Roman" w:eastAsia="Times New Roman"/>
                <w:b w:val="false"/>
                <w:sz w:val="26"/>
              </w:rPr>
              <w:t>Luật 47/2010/QH12</w:t>
            </w:r>
          </w:p>
        </w:tc>
        <w:tc>
          <w:p/>
          <w:p>
            <w:pPr>
              <w:spacing w:after="0" w:before="0" w:lineRule="auto" w:line="276"/>
              <w:jc w:val="left"/>
            </w:pPr>
            <w:r>
              <w:rPr>
                <w:rFonts w:ascii="Times New Roman" w:hAnsi="Times New Roman" w:cs="Times New Roman" w:eastAsia="Times New Roman"/>
                <w:b w:val="false"/>
                <w:sz w:val="26"/>
              </w:rPr>
              <w:t>16-06-2010</w:t>
            </w:r>
          </w:p>
        </w:tc>
        <w:tc>
          <w:p/>
        </w:tc>
      </w:tr>
      <w:tr>
        <w:tc>
          <w:p/>
          <w:p>
            <w:pPr>
              <w:spacing w:after="0" w:before="0" w:lineRule="auto" w:line="276"/>
              <w:jc w:val="left"/>
            </w:pPr>
            <w:r>
              <w:rPr>
                <w:rFonts w:ascii="Times New Roman" w:hAnsi="Times New Roman" w:cs="Times New Roman" w:eastAsia="Times New Roman"/>
                <w:b w:val="false"/>
                <w:sz w:val="26"/>
              </w:rPr>
              <w:t>17/2017/QH14</w:t>
            </w:r>
          </w:p>
        </w:tc>
        <w:tc>
          <w:p/>
          <w:p>
            <w:pPr>
              <w:spacing w:after="0" w:before="0" w:lineRule="auto" w:line="276"/>
              <w:jc w:val="left"/>
            </w:pPr>
            <w:r>
              <w:rPr>
                <w:rFonts w:ascii="Times New Roman" w:hAnsi="Times New Roman" w:cs="Times New Roman" w:eastAsia="Times New Roman"/>
                <w:b w:val="false"/>
                <w:sz w:val="26"/>
              </w:rPr>
              <w:t>Luật 17/2017/QH14</w:t>
            </w:r>
          </w:p>
        </w:tc>
        <w:tc>
          <w:p/>
          <w:p>
            <w:pPr>
              <w:spacing w:after="0" w:before="0" w:lineRule="auto" w:line="276"/>
              <w:jc w:val="left"/>
            </w:pPr>
            <w:r>
              <w:rPr>
                <w:rFonts w:ascii="Times New Roman" w:hAnsi="Times New Roman" w:cs="Times New Roman" w:eastAsia="Times New Roman"/>
                <w:b w:val="false"/>
                <w:sz w:val="26"/>
              </w:rPr>
              <w:t>20-11-2017</w:t>
            </w:r>
          </w:p>
        </w:tc>
        <w:tc>
          <w:p/>
        </w:tc>
      </w:tr>
      <w:tr>
        <w:tc>
          <w:p/>
          <w:p>
            <w:pPr>
              <w:spacing w:after="0" w:before="0" w:lineRule="auto" w:line="276"/>
              <w:jc w:val="left"/>
            </w:pPr>
            <w:r>
              <w:rPr>
                <w:rFonts w:ascii="Times New Roman" w:hAnsi="Times New Roman" w:cs="Times New Roman" w:eastAsia="Times New Roman"/>
                <w:b w:val="false"/>
                <w:sz w:val="26"/>
              </w:rPr>
              <w:t>31/2022/NĐ-CP</w:t>
            </w:r>
          </w:p>
        </w:tc>
        <w:tc>
          <w:p/>
          <w:p>
            <w:pPr>
              <w:spacing w:after="0" w:before="0" w:lineRule="auto" w:line="276"/>
              <w:jc w:val="left"/>
            </w:pPr>
            <w:r>
              <w:rPr>
                <w:rFonts w:ascii="Times New Roman" w:hAnsi="Times New Roman" w:cs="Times New Roman" w:eastAsia="Times New Roman"/>
                <w:b w:val="false"/>
                <w:sz w:val="26"/>
              </w:rPr>
              <w:t>Nghị định 31/2022/NĐ-CP</w:t>
            </w:r>
          </w:p>
        </w:tc>
        <w:tc>
          <w:p/>
          <w:p>
            <w:pPr>
              <w:spacing w:after="0" w:before="0" w:lineRule="auto" w:line="276"/>
              <w:jc w:val="left"/>
            </w:pPr>
            <w:r>
              <w:rPr>
                <w:rFonts w:ascii="Times New Roman" w:hAnsi="Times New Roman" w:cs="Times New Roman" w:eastAsia="Times New Roman"/>
                <w:b w:val="false"/>
                <w:sz w:val="26"/>
              </w:rPr>
              <w:t>20-05-2022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ngân hàng thương mại thực hiện hỗ trợ lãi suất cho doanh nghiệp, hợp tác xã, hộ kinh doanh theo Nghị định 31/2022/NĐ-CP và chịu trách nhiệm về tính hợp lệ, chính xác của hồ sơ, số liệu đề nghị thanh toán, quyết toán hỗ trợ lãi suất.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2026-05-09T02:40:42Z</dcterms:created>
  <dc:creator>Apache POI</dc:creator>
</cp:coreProperties>
</file>