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1.011007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thuế thu nhập cá nhân đối với cá nhân nhận cổ tức bằng chứng khoán, lợi tức ghi tăng vốn, chứng khoán thưởng cho cổ đông hiện hữu khi chuyển nhượng và tổ chức, cá nhân khai thuế thay, nộp thuế thay cho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 Đối với khai thuế thu nhập cá nhân đối với tổ chức khai thay cho cá nhân có thu nhập từ đầu tư vốn do nhận cổ tức bằng chứng khoán, lợi tức ghi tăng vốn, chứng khoán thưởng cho cổ đông hiện hữu: Tổ chức khai thuế thay, nộp thuế thay chuẩn bị hồ sơ khai thuế thu nhập cá nhân (TNCN) từ đầu tư vốn thay cho cá nhân khi cá nhân phát sinh chuyển nhượng chứng khoán cùng loại, chuyển nhượng vốn, rút vốn và lựa chọn kỳ khai thuế theo quy định. Nộp hồ sơ khai thuế tại cơ quan thuế quản lý trực tiếp tổ chức khai thay. Thời hạn nộp hồ sơ khai thuế theo từng lần phát sinh chậm nhất là ngày thứ 10 kể từ ngày phát sinh nghĩa vụ thuế; Thời hạn nộp hồ sơ khai thuế theo tháng chậm nhất là ngày thứ 20 của tháng tiếp theo tháng phát sinh nghĩa vụ thuế; Thời hạn nộp hồ sơ khai thuế theo quý chậm nhất là ngày cuối cùng của tháng đầu của quý tiếp theo quý phát sinh nghĩa vụ thuế. 
+ Đối với khai thuế thu nhập cá nhân đối với cá nhân nhận cổ tức bằng chứng khoán, lợi tức ghi tăng vốn, chứng khoán thưởng cho cổ đông hiện hữu: Chậm nhất là ngày thứ 10 (mười) kể từ ngày chuyển nhượng vốn, rút vốn, chuyển nhượng chứng khoán cùng loại, cá nhân chuẩn bị hồ sơ khai thuế thu nhập cá nhân đối với thu nhập từ đầu tư vốn, gửi đến cơ quan thuế quản lý trực tiếp tổ chức phát hành chứng khoán hoặc tổ chức có vốn góp.</w:t>
      </w:r>
    </w:p>
    <w:p>
      <w:pPr>
        <w:spacing w:after="0" w:before="0" w:lineRule="auto" w:line="276"/>
        <w:jc w:val="both"/>
      </w:pPr>
      <w:r>
        <w:rPr>
          <w:rFonts w:ascii="Times New Roman" w:hAnsi="Times New Roman" w:cs="Times New Roman" w:eastAsia="Times New Roman"/>
          <w:b w:val="false"/>
          <w:sz w:val="26"/>
        </w:rPr>
        <w:t>- Bước 2: Cơ quan thuế thực hiện tiếp nhận:
+ Đối với khai thuế thu nhập cá nhân đối với tổ chức khai thay cho cá nhân có thu nhập từ đầu tư vốn do nhận cổ tức bằng chứng khoán, lợi tức ghi tăng vốn, chứng khoán thưởng cho cổ đông hiện hữu
Cơ quan quản lý thuế tiếp nhận hồ sơ khai thuế, thông báo về việc tiếp nhận hồ sơ khai thuế; trường hợp hồ sơ không hợp pháp, không đầy đủ, không đúng mẫu quy định thì thông báo cho người nộp thuế trong thời hạn 03 ngày làm việc kể từ ngày tiếp nhận hồ sơ.
+ Trường hợp hồ sơ được nộp trực tiếp tại cơ quan thuế hoặc hồ sơ được gửi qua đường bưu chính: Cơ quan thuế thực hiện tiếp nhận, giải quyết hồ sơ theo quy định.
+ Trường hợp hồ sơ được nộp thông qua giao dịch điện tử, việc tiếp nhận, kiểm tra, chấp nhận, giải quyết hồ sơ thông qua hệ thống xử lý dữ liệu điện tử của cơ quan thuế:
++ Tiếp nhận hồ sơ: Cổng thông tin điện tử của Cục Thuế gửi thông báo tiếp nhận việc người nộp thuế (NNT) đã nộp hồ sơ hoặc thông báo lý do không tiếp nhận hồ sơ cho NNT qua Cổng thông tin điện tử mà người nộp thuế lựa chọn lập và gửi hồ sơ (Cổng thông tin điện tử của Cục Thuế/ Cổng thông tin điện tử của cơ quan nhà nước có thẩm quyền hoặc tổ chức cung cấp dịch vụ T-VAN) chậm nhất 15 phút kể từ khi nhận được hồ sơ khai thuế điện tử của người nộp thuế.
++ Kiểm tra, giải quyết hồ sơ: Cơ quan thuế thực hiện kiểm tra, giải quyết hồ sơ khai thuế của NNT theo quy định của Luật Quản lý thuế và các văn bản hướng dẫn thi hành:
Cơ quan thuế gửi thông báo chấp nhận/không chấp nhận hồ sơ đến Cổng thông tin điện tử mà NNT lựa chọn lập và gửi hồ sơ (Cổng thông tin điện tử của Cục Thuế/Cổng thông tin điện tử của cơ quan nhà nước có thẩm quyền hoặc tổ chức cung cấp dịch vụ T-VAN) chậm nhất 01 ngày làm việc kể từ ngày ghi trên thông báo tiếp nhận nộp hồ sơ khai thuế điện tử.
+ Đối với khai thuế thu nhập cá nhân đối với cá nhân nhận cổ tức bằng chứng khoán, lợi tức ghi tăng vốn, chứng khoán thưởng cho cổ đông hiện hữu:
Cơ quan thuế thực hiện tiếp nhận: 
++ Trường hợp hồ sơ được nộp trực tiếp tại cơ quan thuế hoặc hồ sơ được gửi qua đường bưu chính: cơ quan thuế thực hiện tiếp nhận, giải quyết hồ sơ theo quy định.
++ Trường hợp hồ sơ được nộp thông qua giao dịch điện tử, việc tiếp nhận, kiểm tra, chấp nhận, giải quyết hồ sơ(và trả kết quả nếu có kết quả) thông qua hệ thống xử lý dữ liệu điện tử của cơ quan thuế.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phải trả kết quả cho người nộp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phải trả kết quả cho người nộp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phải trả kết quả cho người nộp thuế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thuế thu nhập cá nhân (áp dụng đối với cá nhân nhận cổ tức bằng chứng khoán, lợi tức ghi tăng vốn, chứng khoán thưởng cho cổ đông hiện hữu khi chuyển nhượng và tổ chức, cá nhân khai thuế thay, nộp thuế thay cho cá nhân) mẫu số 04/ĐTV-TNCN tại Phụ lục I - Danh mục hồ sơ khai thuế ban hành kèm theo Nghị định số 126/2020/NĐ-CP ngày 19/10/2020 và Phụ lục II - Mẫu biểu hồ sơ khai thuế ban hành kèm theo Thông tư số 80/2021/TT-BTC ngày 29/9/2021/TT-BTC (đã được sửa đổi tại Thông tư số 40/2025/TT-BTC và Thông tư số 94/2025/TT-BTC).</w:t>
            </w:r>
          </w:p>
        </w:tc>
        <w:tc>
          <w:p/>
          <w:p>
            <w:pPr>
              <w:spacing w:after="0" w:before="0" w:lineRule="auto" w:line="276"/>
              <w:jc w:val="left"/>
            </w:pPr>
            <w:r>
              <w:rPr>
                <w:rFonts w:ascii="Times New Roman" w:hAnsi="Times New Roman" w:cs="Times New Roman" w:eastAsia="Times New Roman"/>
                <w:b w:val="false"/>
                <w:sz w:val="26"/>
              </w:rPr>
              <w:t>Mauso04.DTV.TNCN.doc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Phụ lục bảng kê chi tiết (áp dụng đối với tổ chức khai thuế thay, nộp thuế thay cho nhiều cá nhân) mẫu số 04-1/ĐTV-TNCN tại Phụ lục I - Danh mục hồ sơ khai thuế ban hành kèm theo Nghị định số 126/2020/NĐ-CP ngày 19/10/2020 của Chính phủ và Phụ lục II - Mẫu biểu hồ sơ khai thuế ban hành kèm theo Thông tư số 80/2021/TT-BTC ngày 29/9/2021/TT-BTC của Bộ Tài chính (đã được sửa đổi tại Thông tư số 94/2025/TT-BTC).</w:t>
            </w:r>
          </w:p>
        </w:tc>
        <w:tc>
          <w:p/>
          <w:p>
            <w:pPr>
              <w:spacing w:after="0" w:before="0" w:lineRule="auto" w:line="276"/>
              <w:jc w:val="left"/>
            </w:pPr>
            <w:r>
              <w:rPr>
                <w:rFonts w:ascii="Times New Roman" w:hAnsi="Times New Roman" w:cs="Times New Roman" w:eastAsia="Times New Roman"/>
                <w:b w:val="false"/>
                <w:sz w:val="26"/>
              </w:rPr>
              <w:t>Mauso04-1.TV.TNCN.doc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tỉnh, thành phố/Thuế cơ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gửi đến cơ quan thuế không có kết quả giải quyết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91/2022/NĐ-CP</w:t>
            </w:r>
          </w:p>
        </w:tc>
        <w:tc>
          <w:p/>
          <w:p>
            <w:pPr>
              <w:spacing w:after="0" w:before="0" w:lineRule="auto" w:line="276"/>
              <w:jc w:val="left"/>
            </w:pPr>
            <w:r>
              <w:rPr>
                <w:rFonts w:ascii="Times New Roman" w:hAnsi="Times New Roman" w:cs="Times New Roman" w:eastAsia="Times New Roman"/>
                <w:b w:val="false"/>
                <w:sz w:val="26"/>
              </w:rPr>
              <w:t>Nghị định số 91/2022/NĐ-CP sửa đổi bổ sung một số điều của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30-10-2022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122/2025/NĐ-CP</w:t>
            </w:r>
          </w:p>
        </w:tc>
        <w:tc>
          <w:p/>
          <w:p>
            <w:pPr>
              <w:spacing w:after="0" w:before="0" w:lineRule="auto" w:line="276"/>
              <w:jc w:val="left"/>
            </w:pPr>
            <w:r>
              <w:rPr>
                <w:rFonts w:ascii="Times New Roman" w:hAnsi="Times New Roman" w:cs="Times New Roman" w:eastAsia="Times New Roman"/>
                <w:b w:val="false"/>
                <w:sz w:val="26"/>
              </w:rPr>
              <w:t>Nghị định số 122/2025/NĐ-CP của Chính phủ: Quy định về phân quyền, phân cấp trong lĩnh vực quản lý thuế</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94/2025/TT-BTC</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80/2021/TT-BTC ngày 29 tháng 9 năm 2021 của Bộ Tài chính hướng dẫn thi hành một số điều của Luật Quản lý thuế và Nghị định số 126/2020/NĐ-CP ngày 19 tháng 10 năm 2020 của Chính phủ quy định chi tiết một số điều của Luật Quản lý thuế và sửa đổi, bổ sung một số mẫu biểu của Thông tư số 40/2021/TT-BTC ngày 01 tháng 6 năm 2021 của Bộ Tài chính hướng dẫn thuế giá trị gia tăng, thuế thu nhập cá nhân và quản lý thuế đối với hộ kinh doanh, cá nhân kinh doanh</w:t>
            </w:r>
          </w:p>
        </w:tc>
        <w:tc>
          <w:p/>
          <w:p>
            <w:pPr>
              <w:spacing w:after="0" w:before="0" w:lineRule="auto" w:line="276"/>
              <w:jc w:val="left"/>
            </w:pPr>
            <w:r>
              <w:rPr>
                <w:rFonts w:ascii="Times New Roman" w:hAnsi="Times New Roman" w:cs="Times New Roman" w:eastAsia="Times New Roman"/>
                <w:b w:val="false"/>
                <w:sz w:val="26"/>
              </w:rPr>
              <w:t>14-10-2025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đầy đủ các quy định và điều kiện thực hiện giao dịch điện tử trong lĩnh vực thuế tại Thông tư số 19/2021/TT-BTC ngày 18/3/2021 của Bộ trưởng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2026-04-30T17:42:46Z</dcterms:created>
  <dc:creator>Apache POI</dc:creator>
</cp:coreProperties>
</file>