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1.011019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4472/QĐ-BTC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Miễn, giảm thuế sử dụng đất phi nông nghiệp gặp khó khăn do sự kiện bất khả kháng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Thuế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Người nộp thuế sử dụng đất nông nghiệp nộp hồ sơ 
Người nộp thuế gặp khó khăn do sự kiện bất khả kháng thuộc đối tượng quy định tại Khoản 9 Điều 9 và khoản 4 Điều 10 Luật thuế sử dụng đất phi nông nghiệp thực hiện nộp hồ sơ đề nghị miễn, giảm thuế sử dụng đất phi nông nghiệp tại cơ quan thuế quản lý trực tiếp.
+ Bước 2. Cơ quan thuế tiếp nhận: 
Trường hợp hồ sơ được nộp trực tiếp tại cơ quan thuế, công chức thuế tiếp nhận và đóng dấu tiếp nhận hồ sơ, ghi thời gian nhận hồ sơ, ghi nhận số lượng tài liệu trong hồ sơ và ghi vào sổ văn thư của cơ quan thuế.
 Trường hợp hồ sơ được gửi qua đường bưu chính, công chức thuế đóng dấu ghi ngày nhận hồ sơ và ghi vào sổ văn thư của cơ quan thuế.
Cơ quan thuế quản lý trực tiếp tiếp nhận hồ sơ theo đúng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30 ngày kể từ ngày nhận đủ hồ sơ, cơ quan quản lý thuế quyết định miễn thuế, giảm thuế hoặc thông báo bằng văn bản cho người nộp thuế lý do không thuộc diện được miễn thuế, giảm thuế</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cần kiểm tra thực tế để có đủ căn cứ giải quyết hồ sơ miễn thuế, giảm thuế thì trong thời hạn 40 ngày kể từ ngày nhận đủ hồ sơ, cơ quan quản lý thuế ban hành quyết định miễn thuế, giảm thuế hoặc thông báo bằng văn bản cho người nộp thuế lý do không được miễn thuế, giảm thuế</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30 ngày kể từ ngày nhận đủ hồ sơ, cơ quan quản lý thuế quyết định miễn thuế, giảm thuế hoặc thông báo bằng văn bản cho người nộp thuế lý do không thuộc diện được miễn thuế, giảm thuế.</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cần kiểm tra thực tế để có đủ căn cứ giải quyết hồ sơ miễn thuế, giảm thuế thì trong thời hạn 40 ngày kể từ ngày nhận đủ hồ sơ, cơ quan quản lý thuế ban hành quyết định miễn thuế, giảm thuế hoặc thông báo bằng văn bản cho người nộp thuế lý do không được miễn thuế, giảm thuế</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các giấy tờ liên quan đến thửa đất chịu thuế như: Giấy chứng nhận quyền sử dụng đất, Quyết định giao đất, Quyết định hoặc Hợp đồng cho thuê đất, Quyết định cho phép chuyển mục đích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Xác nhận của Uỷ ban nhân dân cấp xã nơi có đất bị thiệt hại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đề nghị theo mẫu số 01/MGTH ban hành kèm theo Phụ lục I Thông tư số 80/2021/TT-BTC  ngày 29/9/2021 của Bộ Tài chính hướng dẫn thi hành một số điều của Luật Quản lý thuế và Nghị định số 126/2020/NĐ-CP ngày 19 tháng 10 năm 2020 của Chính phủ quy định chi tiết một số điều của Luật Quản lý thuế (đã được sửa đổi tại Thông tư số 40/2025/TT-BTC và Thông tư số 94/2025/TT-BTC).</w:t>
            </w:r>
          </w:p>
        </w:tc>
        <w:tc>
          <w:p/>
          <w:p>
            <w:pPr>
              <w:spacing w:after="0" w:before="0" w:lineRule="auto" w:line="276"/>
              <w:jc w:val="left"/>
            </w:pPr>
            <w:r>
              <w:rPr>
                <w:rFonts w:ascii="Times New Roman" w:hAnsi="Times New Roman" w:cs="Times New Roman" w:eastAsia="Times New Roman"/>
                <w:b w:val="false"/>
                <w:sz w:val="26"/>
              </w:rPr>
              <w:t>Mau01.MGTH.docx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Thuế cơ sở</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Thuế cơ sở</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miễn thuế/giảm thuế, Thông báo không được miễn thuế/giảm thuế, Thông báo giải trình, bổ sung thông tin, tài liệu (Mẫu 01/TB-BSTT-NNT)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38/2019/QH14</w:t>
            </w:r>
          </w:p>
        </w:tc>
        <w:tc>
          <w:p/>
          <w:p>
            <w:pPr>
              <w:spacing w:after="0" w:before="0" w:lineRule="auto" w:line="276"/>
              <w:jc w:val="left"/>
            </w:pPr>
            <w:r>
              <w:rPr>
                <w:rFonts w:ascii="Times New Roman" w:hAnsi="Times New Roman" w:cs="Times New Roman" w:eastAsia="Times New Roman"/>
                <w:b w:val="false"/>
                <w:sz w:val="26"/>
              </w:rPr>
              <w:t>Luật 38/2019/QH14</w:t>
            </w:r>
          </w:p>
        </w:tc>
        <w:tc>
          <w:p/>
          <w:p>
            <w:pPr>
              <w:spacing w:after="0" w:before="0" w:lineRule="auto" w:line="276"/>
              <w:jc w:val="left"/>
            </w:pPr>
            <w:r>
              <w:rPr>
                <w:rFonts w:ascii="Times New Roman" w:hAnsi="Times New Roman" w:cs="Times New Roman" w:eastAsia="Times New Roman"/>
                <w:b w:val="false"/>
                <w:sz w:val="26"/>
              </w:rPr>
              <w:t>13-06-2019</w:t>
            </w:r>
          </w:p>
        </w:tc>
        <w:tc>
          <w:p/>
        </w:tc>
      </w:tr>
      <w:tr>
        <w:tc>
          <w:p/>
          <w:p>
            <w:pPr>
              <w:spacing w:after="0" w:before="0" w:lineRule="auto" w:line="276"/>
              <w:jc w:val="left"/>
            </w:pPr>
            <w:r>
              <w:rPr>
                <w:rFonts w:ascii="Times New Roman" w:hAnsi="Times New Roman" w:cs="Times New Roman" w:eastAsia="Times New Roman"/>
                <w:b w:val="false"/>
                <w:sz w:val="26"/>
              </w:rPr>
              <w:t>80/2021/TT-BTC</w:t>
            </w:r>
          </w:p>
        </w:tc>
        <w:tc>
          <w:p/>
          <w:p>
            <w:pPr>
              <w:spacing w:after="0" w:before="0" w:lineRule="auto" w:line="276"/>
              <w:jc w:val="left"/>
            </w:pPr>
            <w:r>
              <w:rPr>
                <w:rFonts w:ascii="Times New Roman" w:hAnsi="Times New Roman" w:cs="Times New Roman" w:eastAsia="Times New Roman"/>
                <w:b w:val="false"/>
                <w:sz w:val="26"/>
              </w:rPr>
              <w:t>Thông tư 80/2021/TT-BTC</w:t>
            </w:r>
          </w:p>
        </w:tc>
        <w:tc>
          <w:p/>
          <w:p>
            <w:pPr>
              <w:spacing w:after="0" w:before="0" w:lineRule="auto" w:line="276"/>
              <w:jc w:val="left"/>
            </w:pPr>
            <w:r>
              <w:rPr>
                <w:rFonts w:ascii="Times New Roman" w:hAnsi="Times New Roman" w:cs="Times New Roman" w:eastAsia="Times New Roman"/>
                <w:b w:val="false"/>
                <w:sz w:val="26"/>
              </w:rPr>
              <w:t>29-09-2021</w:t>
            </w:r>
          </w:p>
        </w:tc>
        <w:tc>
          <w:p/>
        </w:tc>
      </w:tr>
      <w:tr>
        <w:tc>
          <w:p/>
          <w:p>
            <w:pPr>
              <w:spacing w:after="0" w:before="0" w:lineRule="auto" w:line="276"/>
              <w:jc w:val="left"/>
            </w:pPr>
            <w:r>
              <w:rPr>
                <w:rFonts w:ascii="Times New Roman" w:hAnsi="Times New Roman" w:cs="Times New Roman" w:eastAsia="Times New Roman"/>
                <w:b w:val="false"/>
                <w:sz w:val="26"/>
              </w:rPr>
              <w:t>126/2020/NĐ-CP</w:t>
            </w:r>
          </w:p>
        </w:tc>
        <w:tc>
          <w:p/>
          <w:p>
            <w:pPr>
              <w:spacing w:after="0" w:before="0" w:lineRule="auto" w:line="276"/>
              <w:jc w:val="left"/>
            </w:pPr>
            <w:r>
              <w:rPr>
                <w:rFonts w:ascii="Times New Roman" w:hAnsi="Times New Roman" w:cs="Times New Roman" w:eastAsia="Times New Roman"/>
                <w:b w:val="false"/>
                <w:sz w:val="26"/>
              </w:rPr>
              <w:t>Nghị định 126/2020/NĐ-CP</w:t>
            </w:r>
          </w:p>
        </w:tc>
        <w:tc>
          <w:p/>
          <w:p>
            <w:pPr>
              <w:spacing w:after="0" w:before="0" w:lineRule="auto" w:line="276"/>
              <w:jc w:val="left"/>
            </w:pPr>
            <w:r>
              <w:rPr>
                <w:rFonts w:ascii="Times New Roman" w:hAnsi="Times New Roman" w:cs="Times New Roman" w:eastAsia="Times New Roman"/>
                <w:b w:val="false"/>
                <w:sz w:val="26"/>
              </w:rPr>
              <w:t>19-10-2020</w:t>
            </w:r>
          </w:p>
        </w:tc>
        <w:tc>
          <w:p/>
        </w:tc>
      </w:tr>
      <w:tr>
        <w:tc>
          <w:p/>
          <w:p>
            <w:pPr>
              <w:spacing w:after="0" w:before="0" w:lineRule="auto" w:line="276"/>
              <w:jc w:val="left"/>
            </w:pPr>
            <w:r>
              <w:rPr>
                <w:rFonts w:ascii="Times New Roman" w:hAnsi="Times New Roman" w:cs="Times New Roman" w:eastAsia="Times New Roman"/>
                <w:b w:val="false"/>
                <w:sz w:val="26"/>
              </w:rPr>
              <w:t>40/2025/TT-BTC</w:t>
            </w:r>
          </w:p>
        </w:tc>
        <w:tc>
          <w:p/>
          <w:p>
            <w:pPr>
              <w:spacing w:after="0" w:before="0" w:lineRule="auto" w:line="276"/>
              <w:jc w:val="left"/>
            </w:pPr>
            <w:r>
              <w:rPr>
                <w:rFonts w:ascii="Times New Roman" w:hAnsi="Times New Roman" w:cs="Times New Roman" w:eastAsia="Times New Roman"/>
                <w:b w:val="false"/>
                <w:sz w:val="26"/>
              </w:rPr>
              <w:t>Thông tư số 40/2025/TT-BTC Sửa đổi, bổ sung một số điều của các Thông tư thuộc lĩnh vực quản lý thuế để phân định thẩm quyền của chính quyền địa phương theo mô hình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13-06-2025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94/2025/TT-BTC</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Thông tư số 80/2021/TT-BTC ngày 29 tháng 9 năm 2021 của Bộ Tài chính hướng dẫn thi hành một số điều của Luật Quản lý thuế và Nghị định số 126/2020/NĐ-CP ngày 19 tháng 10 năm 2020 của Chính phủ quy định chi tiết một số điều của Luật Quản lý thuế và sửa đổi, bổ sung một số mẫu biểu của Thông tư số 40/2021/TT-BTC ngày 01 tháng 6 năm 2021 của Bộ Tài chính hướng dẫn thuế giá trị gia tăng, thuế thu nhập cá nhân và quản lý thuế đối với hộ kinh doanh, cá nhân kinh doanh</w:t>
            </w:r>
          </w:p>
        </w:tc>
        <w:tc>
          <w:p/>
          <w:p>
            <w:pPr>
              <w:spacing w:after="0" w:before="0" w:lineRule="auto" w:line="276"/>
              <w:jc w:val="left"/>
            </w:pPr>
            <w:r>
              <w:rPr>
                <w:rFonts w:ascii="Times New Roman" w:hAnsi="Times New Roman" w:cs="Times New Roman" w:eastAsia="Times New Roman"/>
                <w:b w:val="false"/>
                <w:sz w:val="26"/>
              </w:rPr>
              <w:t>14-10-2025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2026-05-20T05:22:47Z</dcterms:created>
  <dc:creator>Apache POI</dc:creator>
</cp:coreProperties>
</file>