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1.009772.000.00.00.H29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2299/QĐ-UBND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chấm dứt hoạt động của dự án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Ban Quản lý các Khu chế xuất và công nghiệp Thành phố, Ban Quản lý Khu Công nghệ cao</w:t>
      </w:r>
    </w:p>
    <w:p>
      <w:pPr>
        <w:spacing w:after="0" w:before="0" w:lineRule="auto" w:line="276"/>
        <w:jc w:val="both"/>
      </w:pPr>
      <w:r>
        <w:rPr>
          <w:rFonts w:ascii="Times New Roman" w:hAnsi="Times New Roman" w:cs="Times New Roman" w:eastAsia="Times New Roman"/>
          <w:b w:val="false"/>
          <w:sz w:val="26"/>
        </w:rPr>
        <w:t>- Bước 1: Nhà đầu tư gửi quyết định chấm dứt hoạt động của dự án đầu tư (trong trường hợp tự chấm dứt hoạt động) hoặc thông báo và nộp lại Giấy chứng nhận đăng ký đầu tư (trong trường hợp chấm dứt hoạt động của dự án đầu tư theo các điều kiện quy định trong hợp đồng, điều lệ doanh nghiệp) cho Ban Quản lý.</w:t>
      </w:r>
    </w:p>
    <w:p>
      <w:pPr>
        <w:spacing w:after="0" w:before="0" w:lineRule="auto" w:line="276"/>
        <w:jc w:val="both"/>
      </w:pPr>
      <w:r>
        <w:rPr>
          <w:rFonts w:ascii="Times New Roman" w:hAnsi="Times New Roman" w:cs="Times New Roman" w:eastAsia="Times New Roman"/>
          <w:b w:val="false"/>
          <w:sz w:val="26"/>
        </w:rPr>
        <w:t>- Bước 2: Ban Quản lý đầu tư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Ban Quản lý các Khu chế xuất và công nghiệp Thành phố: xem phần mô tả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Trong thời hạn 15 ngày kể từ ngày quyết định, nhà đầu tư gửi quyết định chấm dứt hoạt động của dự án đầu tư hoặc thông báo và nộp lại Giấy chứng nhận đăng ký đầu tư cho Ban Quản lý.
+ Ban Quản lý thông báo việc chấm dứt hoạt động của dự án đầu tư cho các cơ quan liên quan kể từ ngày nhận được quyết định hoặc thông chấm dứt hoạt động của dự án đầu tư.</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Ban Quản lý Khu Công nghệ cao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Ngay khi tiếp nhận thông báo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Ban Quản lý các Khu chế xuất và công nghiệp Thành phố: xem phần mô tả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Trong thời hạn 15 ngày kể từ ngày quyết định, nhà đầu tư gửi quyết định chấm dứt hoạt động của dự án đầu tư hoặc thông báo và nộp lại Giấy chứng nhận đăng ký đầu tư cho Ban Quản lý.
+ Ban Quản lý thông báo việc chấm dứt hoạt động của dự án đầu tư cho các cơ quan liên quan kể từ ngày nhận được quyết định hoặc thông chấm dứt hoạt động của dự án đầu tư.</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Ban Quản lý Khu Công nghệ cao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Ngay khi tiếp nhận thông báo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thông báo chấm dứt hoạt động của dự án đầu tư;</w:t>
            </w:r>
          </w:p>
        </w:tc>
        <w:tc>
          <w:p/>
          <w:p>
            <w:pPr>
              <w:spacing w:after="0" w:before="0" w:lineRule="auto" w:line="276"/>
              <w:jc w:val="left"/>
            </w:pPr>
            <w:r>
              <w:rPr>
                <w:rFonts w:ascii="Times New Roman" w:hAnsi="Times New Roman" w:cs="Times New Roman" w:eastAsia="Times New Roman"/>
                <w:b w:val="false"/>
                <w:sz w:val="26"/>
              </w:rPr>
              <w:t>A.I.15 Vb thong bao cham dut hd du an dau tu (Các điểm a, b và c khoản 1 Điều 48 Luật Đầu tư).docx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ghi nhận việc chấm dứt hoạt động của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Công nghệ cao - TP.HCM, Ban Quản lý Khu Chế xuất và công nghiệp - TP.HCM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Ban Quản lý các Khu chế xuất và công nghiệp Thành phố (số 35 Nguyễn Bỉnh Khiêm, phường ĐaKao, Quận 1); Ban Quản lý Khu Công nghệ cao TP.HCM (lô T2-3, đường D1, Phường Tân Phú, thành phố Thủ Đức, Thành phố Hồ Chí Minh)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chấm dứt hoạt động dự án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Bộ trưởng Bộ Kế hoạch và Đầu tư</w:t>
            </w:r>
          </w:p>
        </w:tc>
        <w:tc>
          <w:p/>
          <w:p>
            <w:pPr>
              <w:spacing w:after="0" w:before="0" w:lineRule="auto" w:line="276"/>
              <w:jc w:val="left"/>
            </w:pPr>
            <w:r>
              <w:rPr>
                <w:rFonts w:ascii="Times New Roman" w:hAnsi="Times New Roman" w:cs="Times New Roman" w:eastAsia="Times New Roman"/>
                <w:b w:val="false"/>
                <w:sz w:val="26"/>
              </w:rPr>
              <w:t>31-05-2023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Dự án đầu tư chấm dứt hoạt động theo quy định tại điểm a khoản 1 Điều 48 của Luật Đầu tư</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chấm dứt hoạt động của dự án đầu tư, trong trường hợp, nhà đầu tư tự quyết định, chấm dứt hoạt động của dự án đầu tư</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2026-05-13T15:05:16Z</dcterms:created>
  <dc:creator>Apache POI</dc:creator>
</cp:coreProperties>
</file>