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1.009775.000.00.00.H29</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2320/QĐ-UBND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thực hiện hoạt động đầu tư theo hình thức góp vốn, mua cổ phần, mua phần vốn góp đối với nhà đầu tư nước ngoài (Ban Quản lý thực hiện)</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Đầu tư tại Việt nam</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Bước 1: Tổ chức kinh tế có nhà đầu tư nước ngoài đầu tư góp vốn, mua cổ phần, mua phần vốn góp thuộc trường hợp quy định tại khoản 2 Điều 26 Luật Đầu tư nộp 01 bộ hồ sơ đăng ký góp vốn, mua cổ phần, mua phần vốn góp cho Ban Quản lý nơi tổ chức kinh tế đặt trụ sở chính.
- Bước 2: Ban Quản lý xem xét việc đáp ứng điều kiện góp vốn, mua cổ phần, mua phần vốn góp quy định tại khoản 2 Điều 24 của Luật Đầu tư, khoản 4 Điều 65 của Nghị định số 31/2021/NĐ-CP và thông báo cho nhà đầu tư, trừ trường hợp quy định tại khoản 4 Điều 66 Nghị định số 31/2021/NĐ-CP. Văn bản thông báo được gửi cho nhà đầu tư nước ngoài và tổ chức kinh tế có nhà đầu tư nước ngoài góp vốn, mua cổ phần, mua phần vốn góp trong thời hạn 15 ngày kể từ ngày nhận được hồ sơ hợp lệ theo quy định tại khoản 2 Điều 66 Nghị định số 31/2021/NĐ-CP.
* Yêu cầu:
- Việc góp vốn, mua cổ phần, mua phần vốn góp làm tăng tỷ lệ sở hữu của các nhà đầu tư nước ngoài tại tổ chức kinh tế kinh doanh ngành, nghề tiếp cận thị trường có điều kiện đối với nhà đầu tư nước ngoài;
- Việc góp vốn, mua cổ phần, mua phần vốn góp dẫn đến việc nhà đầu tư nước ngoài, tổ chức kinh tế quy định tại các điểm a, b và c khoản 1 Điều 23 của Luật Đầu tư nắm giữ trên 50% vốn điều lệ của tổ chức kinh tế trong các trường hợp: tăng tỷ lệ sở hữu vốn điều lệ của nhà đầu tư nước ngoài từ dưới hoặc bằng 50% lên trên 50%; tăng tỷ lệ sở hữu vốn điều lệ của nhà đầu tư nước ngoài khi nhà đầu tư nước ngoài đã sở hữu trên 50% vốn điều lệ trong tổ chức kinh tế;
- Nhà đầu tư nước ngoài góp vốn, mua cổ phần, mua phần vốn góp của tổ chức kinh tế có Giấy chứng nhận quyền sử dụng đất tại đảo và xã, phường, thị trấn biên giới; xã, phường, thị trấn ven biển; khu vực khác có ảnh hưởng đến quốc phòng, an ninh.</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10 Ngày</w:t>
            </w:r>
          </w:p>
        </w:tc>
        <w:tc>
          <w:p/>
          <w:p>
            <w:pPr>
              <w:spacing w:after="0" w:before="0" w:lineRule="auto" w:line="276"/>
              <w:jc w:val="left"/>
            </w:pPr>
            <w:r>
              <w:rPr>
                <w:rFonts w:ascii="Times New Roman" w:hAnsi="Times New Roman" w:cs="Times New Roman" w:eastAsia="Times New Roman"/>
                <w:b w:val="false"/>
                <w:sz w:val="26"/>
              </w:rPr>
              <w:t>Phí : 0 Đồng</w:t>
              <w:t xml:space="preserve"> (Không có)</w:t>
            </w:r>
          </w:p>
        </w:tc>
        <w:tc>
          <w:p/>
          <w:p>
            <w:pPr>
              <w:spacing w:after="0" w:before="0" w:lineRule="auto" w:line="276"/>
              <w:jc w:val="left"/>
            </w:pPr>
            <w:r>
              <w:rPr>
                <w:rFonts w:ascii="Times New Roman" w:hAnsi="Times New Roman" w:cs="Times New Roman" w:eastAsia="Times New Roman"/>
                <w:b w:val="false"/>
                <w:sz w:val="26"/>
              </w:rPr>
              <w:t>10 ngày kể từ ngày nhận được hồ sơ hợp lệ.</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10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10 ngày kể từ ngày nhận được hồ sơ hợp lệ.</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10 Ngày</w:t>
            </w:r>
          </w:p>
        </w:tc>
        <w:tc>
          <w:p/>
          <w:p>
            <w:pPr>
              <w:spacing w:after="0" w:before="0" w:lineRule="auto" w:line="276"/>
              <w:jc w:val="left"/>
            </w:pPr>
            <w:r>
              <w:rPr>
                <w:rFonts w:ascii="Times New Roman" w:hAnsi="Times New Roman" w:cs="Times New Roman" w:eastAsia="Times New Roman"/>
                <w:b w:val="false"/>
                <w:sz w:val="26"/>
              </w:rPr>
              <w:t>Phí : 0 Đồng</w:t>
              <w:t xml:space="preserve"> (Không có)</w:t>
            </w:r>
          </w:p>
        </w:tc>
        <w:tc>
          <w:p/>
          <w:p>
            <w:pPr>
              <w:spacing w:after="0" w:before="0" w:lineRule="auto" w:line="276"/>
              <w:jc w:val="left"/>
            </w:pPr>
            <w:r>
              <w:rPr>
                <w:rFonts w:ascii="Times New Roman" w:hAnsi="Times New Roman" w:cs="Times New Roman" w:eastAsia="Times New Roman"/>
                <w:b w:val="false"/>
                <w:sz w:val="26"/>
              </w:rPr>
              <w:t>10 ngày kể từ ngày nhận được hồ sơ hợp lệ.</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Bản sao giấy tờ pháp lý của cá nhân, tổ chức góp vốn, mua cổ phần, mua phần vốn góp và tổ chức kinh tế có nhà đầu tư nước ngoài góp vốn, mua cổ phần, mua phần vốn góp;</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Văn bản thỏa thuận nguyên tắc về việc góp vốn, mua cổ phần, mua phần vốn góp giữa nhà đầu tư nước ngoài và tổ chức kinh tế có nhà đầu tư nước ngoài góp vốn, mua cổ phần, mua phần vốn góp hoặc giữa nhà đầu tư nước ngoài với cổ đông hoặc thành viên của tổ chức kinh tế đó;</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sao Giấy chứng nhận quyền sử dụng đất của tổ chức kinh tế có nhà đầu tư nước ngoài góp vốn, mua cổ phần, mua phần vốn góp (đối với trường hợp quy định tại điểm b khoản 4 Điều 65 Nghị định số 31/2021/NĐ-CP.</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Văn bản đăng ký góp vốn, mua cổ phần, mua phần vốn góp gồm những nội dung: thông tin về đăng ký doanh nghiệp của tổ chức kinh tế mà nhà đầu tư nước ngoài dự kiến góp vốn, mua cổ phần, mua phần vốn góp; ngành, nghề kinh doanh; danh sách chủ sở hữu, thành viên, cổ đông sáng lập, danh sách chủ sở hữu, thành viên, cổ đông là nhà đầu tư nước ngoài (nếu có); tỷ lệ sở hữu vốn điều lệ của nhà đầu tư nước ngoài trước và sau khi góp vốn, mua cổ phần, mua phần vốn góp vào tổ chức kinh tế; giá trị giao dịch dự kiến của hợp đồng góp vốn, mua cổ phần, mua phần vốn góp; thông tin về dự án đầu tư của tổ chức kinh tế (nếu có);</w:t>
            </w:r>
          </w:p>
        </w:tc>
        <w:tc>
          <w:p/>
          <w:p>
            <w:pPr>
              <w:spacing w:after="0" w:before="0" w:lineRule="auto" w:line="276"/>
              <w:jc w:val="left"/>
            </w:pPr>
            <w:r>
              <w:rPr>
                <w:rFonts w:ascii="Times New Roman" w:hAnsi="Times New Roman" w:cs="Times New Roman" w:eastAsia="Times New Roman"/>
                <w:b w:val="false"/>
                <w:sz w:val="26"/>
              </w:rPr>
              <w:t>A.I.7 Vb dang ky gop von,mua CP,mua phan von gop.docx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 Người nước ngoài, Doanh nghiệp, Doanh nghiệp có vốn đầu tư nước ngoài, Tổ chức (không bao gồm doanh nghiệp, HTX), Tổ chức nước ngoài,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Ban Quản lý Khu Công nghệ cao - TP.HCM, Ban Quản lý Khu Chế xuất và công nghiệp - TP.HCM</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Ban Quản lý các Khu chế xuất và công nghiệp Thành phố Hồ Chí Minh (35 Nguyễn Bỉnh Khiêm, Phường Sài Gòn). - Ban Quản lý khu công nghệ cao Thành phố (Lô T2-3 đường D1 Khu Công nghệ cao, Phường Tăng Nhơn Phú). - Trung tâm Phục vụ hành chính công Thành phố: + Số 04 Nguyễn Tất Thành, phường Bà Rịa.  + Tòa nhà Trung tâm hành chính, Đường Lê Lợi, Phường Bình Dương</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Thông báo về việc đáp ứng điều kiện góp vốn, mua cổ phần, mua lại phần vốn góp của nhà đầu tư nước ngoài theo Mẫu A.II.20 ban hành kèm theo Thông tư số 03/2021/TT-BKHĐT</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31/2021/NĐ-CP</w:t>
            </w:r>
          </w:p>
        </w:tc>
        <w:tc>
          <w:p/>
          <w:p>
            <w:pPr>
              <w:spacing w:after="0" w:before="0" w:lineRule="auto" w:line="276"/>
              <w:jc w:val="left"/>
            </w:pPr>
            <w:r>
              <w:rPr>
                <w:rFonts w:ascii="Times New Roman" w:hAnsi="Times New Roman" w:cs="Times New Roman" w:eastAsia="Times New Roman"/>
                <w:b w:val="false"/>
                <w:sz w:val="26"/>
              </w:rPr>
              <w:t>Quy định chi tiết và hướng dẫn thi hành một số điều của Luật Đầu tư</w:t>
            </w:r>
          </w:p>
        </w:tc>
        <w:tc>
          <w:p/>
          <w:p>
            <w:pPr>
              <w:spacing w:after="0" w:before="0" w:lineRule="auto" w:line="276"/>
              <w:jc w:val="left"/>
            </w:pPr>
            <w:r>
              <w:rPr>
                <w:rFonts w:ascii="Times New Roman" w:hAnsi="Times New Roman" w:cs="Times New Roman" w:eastAsia="Times New Roman"/>
                <w:b w:val="false"/>
                <w:sz w:val="26"/>
              </w:rPr>
              <w:t>26-03-2021</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03/2021/TT-BKHĐT</w:t>
            </w:r>
          </w:p>
        </w:tc>
        <w:tc>
          <w:p/>
          <w:p>
            <w:pPr>
              <w:spacing w:after="0" w:before="0" w:lineRule="auto" w:line="276"/>
              <w:jc w:val="left"/>
            </w:pPr>
            <w:r>
              <w:rPr>
                <w:rFonts w:ascii="Times New Roman" w:hAnsi="Times New Roman" w:cs="Times New Roman" w:eastAsia="Times New Roman"/>
                <w:b w:val="false"/>
                <w:sz w:val="26"/>
              </w:rPr>
              <w:t>quy định về mẫu văn bản, báo cáo liên quan đến hoạt động đầu tư tại Việt Nam, đầu tư từ Việt Nam ra nước ngoài và xúc tiến đầu</w:t>
            </w:r>
          </w:p>
        </w:tc>
        <w:tc>
          <w:p/>
          <w:p>
            <w:pPr>
              <w:spacing w:after="0" w:before="0" w:lineRule="auto" w:line="276"/>
              <w:jc w:val="left"/>
            </w:pPr>
            <w:r>
              <w:rPr>
                <w:rFonts w:ascii="Times New Roman" w:hAnsi="Times New Roman" w:cs="Times New Roman" w:eastAsia="Times New Roman"/>
                <w:b w:val="false"/>
                <w:sz w:val="26"/>
              </w:rPr>
              <w:t>09-04-2021</w:t>
            </w:r>
          </w:p>
        </w:tc>
        <w:tc>
          <w:p/>
          <w:p>
            <w:pPr>
              <w:spacing w:after="0" w:before="0" w:lineRule="auto" w:line="276"/>
              <w:jc w:val="left"/>
            </w:pPr>
            <w:r>
              <w:rPr>
                <w:rFonts w:ascii="Times New Roman" w:hAnsi="Times New Roman" w:cs="Times New Roman" w:eastAsia="Times New Roman"/>
                <w:b w:val="false"/>
                <w:sz w:val="26"/>
              </w:rPr>
              <w:t>Bộ Kế hoạch và Đầu tư</w:t>
            </w:r>
          </w:p>
        </w:tc>
      </w:tr>
      <w:tr>
        <w:tc>
          <w:p/>
          <w:p>
            <w:pPr>
              <w:spacing w:after="0" w:before="0" w:lineRule="auto" w:line="276"/>
              <w:jc w:val="left"/>
            </w:pPr>
            <w:r>
              <w:rPr>
                <w:rFonts w:ascii="Times New Roman" w:hAnsi="Times New Roman" w:cs="Times New Roman" w:eastAsia="Times New Roman"/>
                <w:b w:val="false"/>
                <w:sz w:val="26"/>
              </w:rPr>
              <w:t>61/2020/QH14</w:t>
            </w:r>
          </w:p>
        </w:tc>
        <w:tc>
          <w:p/>
          <w:p>
            <w:pPr>
              <w:spacing w:after="0" w:before="0" w:lineRule="auto" w:line="276"/>
              <w:jc w:val="left"/>
            </w:pPr>
            <w:r>
              <w:rPr>
                <w:rFonts w:ascii="Times New Roman" w:hAnsi="Times New Roman" w:cs="Times New Roman" w:eastAsia="Times New Roman"/>
                <w:b w:val="false"/>
                <w:sz w:val="26"/>
              </w:rPr>
              <w:t>Luật Đầu tư</w:t>
            </w:r>
          </w:p>
        </w:tc>
        <w:tc>
          <w:p/>
          <w:p>
            <w:pPr>
              <w:spacing w:after="0" w:before="0" w:lineRule="auto" w:line="276"/>
              <w:jc w:val="left"/>
            </w:pPr>
            <w:r>
              <w:rPr>
                <w:rFonts w:ascii="Times New Roman" w:hAnsi="Times New Roman" w:cs="Times New Roman" w:eastAsia="Times New Roman"/>
                <w:b w:val="false"/>
                <w:sz w:val="26"/>
              </w:rPr>
              <w:t>17-06-2020</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25/2023/TT-BKHĐT</w:t>
            </w:r>
          </w:p>
        </w:tc>
        <w:tc>
          <w:p/>
          <w:p>
            <w:pPr>
              <w:spacing w:after="0" w:before="0" w:lineRule="auto" w:line="276"/>
              <w:jc w:val="left"/>
            </w:pPr>
            <w:r>
              <w:rPr>
                <w:rFonts w:ascii="Times New Roman" w:hAnsi="Times New Roman" w:cs="Times New Roman" w:eastAsia="Times New Roman"/>
                <w:b w:val="false"/>
                <w:sz w:val="26"/>
              </w:rPr>
              <w:t>Thông tư số 25/2023/TT-BKHĐT Bộ trưởng Bộ Kế hoạch và Đầu tư</w:t>
            </w:r>
          </w:p>
        </w:tc>
        <w:tc>
          <w:p/>
          <w:p>
            <w:pPr>
              <w:spacing w:after="0" w:before="0" w:lineRule="auto" w:line="276"/>
              <w:jc w:val="left"/>
            </w:pPr>
            <w:r>
              <w:rPr>
                <w:rFonts w:ascii="Times New Roman" w:hAnsi="Times New Roman" w:cs="Times New Roman" w:eastAsia="Times New Roman"/>
                <w:b w:val="false"/>
                <w:sz w:val="26"/>
              </w:rPr>
              <w:t>31-05-2023</w:t>
            </w:r>
          </w:p>
        </w:tc>
        <w:tc>
          <w:p/>
          <w:p>
            <w:pPr>
              <w:spacing w:after="0" w:before="0" w:lineRule="auto" w:line="276"/>
              <w:jc w:val="left"/>
            </w:pPr>
            <w:r>
              <w:rPr>
                <w:rFonts w:ascii="Times New Roman" w:hAnsi="Times New Roman" w:cs="Times New Roman" w:eastAsia="Times New Roman"/>
                <w:b w:val="false"/>
                <w:sz w:val="26"/>
              </w:rPr>
              <w:t>Bộ Kế hoạch và Đầu tư</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Việc góp vốn, mua cổ phần, mua phần vốn góp làm tăng tỷ lệ sở hữu của các nhà đầu tư nước ngoài tại tổ chức kinh tế kinh doanh ngành, nghề tiếp cận thị trường có điều kiện đối với nhà đầu tư nước ngoài.
- Việc góp vốn, mua cổ phần, mua phần vốn góp dẫn đến việc nhà đầu tư nước ngoài, tổ chức kinh tế quy định tại các điểm a, b và c khoản 1 Điều 23 của Luật Đầu tư nắm giữ trên 50% vốn điều lệ của tổ chức kinh tế trong các trường hợp: tăng tỷ lệ sở hữu vốn điều lệ của nhà đầu tư nước ngoài từ dưới hoặc bằng 50% lên trên 50%; tăng tỷ lệ sở hữu vốn điều lệ của nhà đầu tư nước ngoài khi nhà đầu tư nước ngoài đã sở hữu trên 50% vốn điều lệ trong tổ chức kinh tế.
- Nhà đầu tư nước ngoài góp vốn, mua cổ phần, mua phần vốn góp của tổ chức kinh tế có Giấy chứng nhận quyền sử dụng đất tại đảo và xã, phường, thị trấn biên giới; xã, phường, thị trấn ven biển; khu vực khác có ảnh hưởng đến quốc phòng, an ninh.</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Thủ tục, thực hiện hoạt động đầu tư, theo hình thức góp vốn, mua cổ phần, mua phần vốn góp đối với, nhà đầu tư nước ngoài</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2026-05-28T17:26:03Z</dcterms:created>
  <dc:creator>Apache POI</dc:creator>
</cp:coreProperties>
</file>