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Kế hoạch mua/mua bổ sung/đơn đề nghị mua tem điện tử thuốc lá hoặc tem điện tử rượu sản xuất để tiêu thụ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Đối với Kế hoạch mua/mua bổ sung:
Căn cứ kế hoạch sản xuất sản phẩm thuốc lá, kế hoạch sản xuất rượu để tiêu thụ trong nước hàng năm, chậm nhất là ngày 15 tháng 5 của năm liền trước năm kế hoạch, doanh nghiệp sản xuất sản phẩm thuốc lá hoặc tổ chức, cá nhân sản xuất rượu để tiêu thụ trong nước truy cập vào Cổng thông tin điện tử mà người nộp thuế lựa chọn (Hệ thống thông tin giải quyết các thủ tục hành chính ngành Thuế/Cổng Dịch vụ công quốc gia) để đăng ký kế hoạch mua tem điện tử theo Mẫu số 02/TEM, Phụ lục 3 kèm theo Thông tư số 31/2025/TT-BTC ngày 31/5/2025 của Bộ Tài chính hướng dẫn việc in, phát hành, quản lý và sử dụng tem điện tử rượu và tem điện tử thuốc lá.
Trường hợp trong năm, tổ chức, cá nhân có biến động về sản xuất dẫn đến tăng nhu cầu mua tem điện tử, cũng như các tổ chức, cá nhân có Giấy phép sản xuất sản phẩm thuốc lá, rượu để tiêu thụ trong nước sau ngày 15 tháng 5: Trước ngày đề nghị mua tem điện tử ít nhất ba mươi (30) ngày làm việc, tổ chức, cá nhân truy cập vào Cổng thông tin điện tử mà người nộp thuế lựa chọn (Hệ thống thông tin giải quyết các thủ tục hành chính ngành Thuế/Cổng Dịch vụ công quốc gia) để đăng ký điều chỉnh số lượng tem điện tử cần mua hoặc mua thêm của năm kế hoạch theo Mẫu số 02/TEM, Phụ lục 3 ban hành kèm theo Thông tư số 31/2025/TT-BTC.
++ Đối với Đơn đề nghị mua:
Căn cứ kế hoạch mua, kế hoạch mua bổ sung tem điện tử của năm kế hoạch đã đăng ký với cơ quan thuế quản lý trực tiếp, tổ chức, cá nhân truy cập vào Cổng thông tin điện tử mà người nộp thuế lựa chọn (Hệ thống thông tin giải quyết các thủ tục hành chính ngành Thuế/Cổng Dịch vụ công quốc gia) để đăng ký mua tem điện tử theo Mẫu số 02/TEM, Phụ lục 3 ban hành kèm theo Thông tư số 31/2025/TT-BTC.</w:t>
      </w:r>
    </w:p>
    <w:p>
      <w:pPr>
        <w:spacing w:after="0" w:before="0" w:lineRule="auto" w:line="276"/>
        <w:jc w:val="both"/>
      </w:pPr>
      <w:r>
        <w:rPr>
          <w:rFonts w:ascii="Times New Roman" w:hAnsi="Times New Roman" w:cs="Times New Roman" w:eastAsia="Times New Roman"/>
          <w:b w:val="false"/>
          <w:sz w:val="26"/>
        </w:rPr>
        <w:t>+ Bước 2: Cơ quan thuế tiếp nhận và giải quyết hồ sơ của người nộp thuế:
Cơ quan thuế thực hiện tiếp nhận, kiểm tra, chấp nhận, giải quyết hồ sơ (và trả kết quả, nếu có kết quả) trong vòng 01 ngày làm việc thông qua Cổng thông tin điện tử mà người nộp thuế lựa chọn để lập và gửi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qua Hệ thống thông tin giải quyết các thủ tục hành chính ngành Thuế/Cổng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theo Mẫu 02/TEM ban hành theo Phụ lục 3 Thông tư số 31/2025/TT-BTC.</w:t>
            </w:r>
          </w:p>
        </w:tc>
        <w:tc>
          <w:p/>
          <w:p>
            <w:pPr>
              <w:spacing w:after="0" w:before="0" w:lineRule="auto" w:line="276"/>
              <w:jc w:val="left"/>
            </w:pPr>
            <w:r>
              <w:rPr>
                <w:rFonts w:ascii="Times New Roman" w:hAnsi="Times New Roman" w:cs="Times New Roman" w:eastAsia="Times New Roman"/>
                <w:b w:val="false"/>
                <w:sz w:val="26"/>
              </w:rPr>
              <w:t>Mu02TEM.docx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chấp nhận/không chấp nhận hồ sơ đăng ký, sử dụng tem điện tử (Mẫu số 02/TB/TEM), Thông báo bổ sung hồ sơ của cơ quan thuế trong trường hợp không được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51/2005/QH11</w:t>
            </w:r>
          </w:p>
        </w:tc>
        <w:tc>
          <w:p/>
          <w:p>
            <w:pPr>
              <w:spacing w:after="0" w:before="0" w:lineRule="auto" w:line="276"/>
              <w:jc w:val="left"/>
            </w:pPr>
            <w:r>
              <w:rPr>
                <w:rFonts w:ascii="Times New Roman" w:hAnsi="Times New Roman" w:cs="Times New Roman" w:eastAsia="Times New Roman"/>
                <w:b w:val="false"/>
                <w:sz w:val="26"/>
              </w:rPr>
              <w:t>Luật 51/2005/QH11</w:t>
            </w:r>
          </w:p>
        </w:tc>
        <w:tc>
          <w:p/>
          <w:p>
            <w:pPr>
              <w:spacing w:after="0" w:before="0" w:lineRule="auto" w:line="276"/>
              <w:jc w:val="left"/>
            </w:pPr>
            <w:r>
              <w:rPr>
                <w:rFonts w:ascii="Times New Roman" w:hAnsi="Times New Roman" w:cs="Times New Roman" w:eastAsia="Times New Roman"/>
                <w:b w:val="false"/>
                <w:sz w:val="26"/>
              </w:rPr>
              <w:t>30-11-2005</w:t>
            </w:r>
          </w:p>
        </w:tc>
        <w:tc>
          <w:p/>
        </w:tc>
      </w:tr>
      <w:tr>
        <w:tc>
          <w:p/>
          <w:p>
            <w:pPr>
              <w:spacing w:after="0" w:before="0" w:lineRule="auto" w:line="276"/>
              <w:jc w:val="left"/>
            </w:pPr>
            <w:r>
              <w:rPr>
                <w:rFonts w:ascii="Times New Roman" w:hAnsi="Times New Roman" w:cs="Times New Roman" w:eastAsia="Times New Roman"/>
                <w:b w:val="false"/>
                <w:sz w:val="26"/>
              </w:rPr>
              <w:t>67/2006/QH11</w:t>
            </w:r>
          </w:p>
        </w:tc>
        <w:tc>
          <w:p/>
          <w:p>
            <w:pPr>
              <w:spacing w:after="0" w:before="0" w:lineRule="auto" w:line="276"/>
              <w:jc w:val="left"/>
            </w:pPr>
            <w:r>
              <w:rPr>
                <w:rFonts w:ascii="Times New Roman" w:hAnsi="Times New Roman" w:cs="Times New Roman" w:eastAsia="Times New Roman"/>
                <w:b w:val="false"/>
                <w:sz w:val="26"/>
              </w:rPr>
              <w:t>Luật 67/2006/QH11</w:t>
            </w:r>
          </w:p>
        </w:tc>
        <w:tc>
          <w:p/>
          <w:p>
            <w:pPr>
              <w:spacing w:after="0" w:before="0" w:lineRule="auto" w:line="276"/>
              <w:jc w:val="left"/>
            </w:pPr>
            <w:r>
              <w:rPr>
                <w:rFonts w:ascii="Times New Roman" w:hAnsi="Times New Roman" w:cs="Times New Roman" w:eastAsia="Times New Roman"/>
                <w:b w:val="false"/>
                <w:sz w:val="26"/>
              </w:rPr>
              <w:t>30-06-2006</w:t>
            </w:r>
          </w:p>
        </w:tc>
        <w:tc>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Nghị định 67/2013/NĐ-CP</w:t>
            </w:r>
          </w:p>
        </w:tc>
        <w:tc>
          <w:p/>
          <w:p>
            <w:pPr>
              <w:spacing w:after="0" w:before="0" w:lineRule="auto" w:line="276"/>
              <w:jc w:val="left"/>
            </w:pPr>
            <w:r>
              <w:rPr>
                <w:rFonts w:ascii="Times New Roman" w:hAnsi="Times New Roman" w:cs="Times New Roman" w:eastAsia="Times New Roman"/>
                <w:b w:val="false"/>
                <w:sz w:val="26"/>
              </w:rPr>
              <w:t>28-06-2013</w:t>
            </w:r>
          </w:p>
        </w:tc>
        <w:tc>
          <w:p/>
        </w:tc>
      </w:tr>
      <w:tr>
        <w:tc>
          <w:p/>
          <w:p>
            <w:pPr>
              <w:spacing w:after="0" w:before="0" w:lineRule="auto" w:line="276"/>
              <w:jc w:val="left"/>
            </w:pPr>
            <w:r>
              <w:rPr>
                <w:rFonts w:ascii="Times New Roman" w:hAnsi="Times New Roman" w:cs="Times New Roman" w:eastAsia="Times New Roman"/>
                <w:b w:val="false"/>
                <w:sz w:val="26"/>
              </w:rPr>
              <w:t>105/2017/NĐ-CP</w:t>
            </w:r>
          </w:p>
        </w:tc>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14-09-2017</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23/2021/TT-BTC</w:t>
            </w:r>
          </w:p>
        </w:tc>
        <w:tc>
          <w:p/>
          <w:p>
            <w:pPr>
              <w:spacing w:after="0" w:before="0" w:lineRule="auto" w:line="276"/>
              <w:jc w:val="left"/>
            </w:pPr>
            <w:r>
              <w:rPr>
                <w:rFonts w:ascii="Times New Roman" w:hAnsi="Times New Roman" w:cs="Times New Roman" w:eastAsia="Times New Roman"/>
                <w:b w:val="false"/>
                <w:sz w:val="26"/>
              </w:rPr>
              <w:t>Thông tư 23/2021/TT-BTC</w:t>
            </w:r>
          </w:p>
        </w:tc>
        <w:tc>
          <w:p/>
          <w:p>
            <w:pPr>
              <w:spacing w:after="0" w:before="0" w:lineRule="auto" w:line="276"/>
              <w:jc w:val="left"/>
            </w:pPr>
            <w:r>
              <w:rPr>
                <w:rFonts w:ascii="Times New Roman" w:hAnsi="Times New Roman" w:cs="Times New Roman" w:eastAsia="Times New Roman"/>
                <w:b w:val="false"/>
                <w:sz w:val="26"/>
              </w:rPr>
              <w:t>30-03-2021</w:t>
            </w:r>
          </w:p>
        </w:tc>
        <w:tc>
          <w:p/>
        </w:tc>
      </w:tr>
      <w:tr>
        <w:tc>
          <w:p/>
          <w:p>
            <w:pPr>
              <w:spacing w:after="0" w:before="0" w:lineRule="auto" w:line="276"/>
              <w:jc w:val="left"/>
            </w:pPr>
            <w:r>
              <w:rPr>
                <w:rFonts w:ascii="Times New Roman" w:hAnsi="Times New Roman" w:cs="Times New Roman" w:eastAsia="Times New Roman"/>
                <w:b w:val="false"/>
                <w:sz w:val="26"/>
              </w:rPr>
              <w:t>31/2025/TT-BTC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23/2021/TT-BTC ngày 30 tháng 3 năm 2021 của Bộ trưởng Bộ Tài chính hướng dẫn việc in, phát hành, quản lý và sử dụng tem điện tử rượu và tem điện tử thuốc lá</w:t>
            </w:r>
          </w:p>
        </w:tc>
        <w:tc>
          <w:p/>
          <w:p>
            <w:pPr>
              <w:spacing w:after="0" w:before="0" w:lineRule="auto" w:line="276"/>
              <w:jc w:val="left"/>
            </w:pPr>
            <w:r>
              <w:rPr>
                <w:rFonts w:ascii="Times New Roman" w:hAnsi="Times New Roman" w:cs="Times New Roman" w:eastAsia="Times New Roman"/>
                <w:b w:val="false"/>
                <w:sz w:val="26"/>
              </w:rPr>
              <w:t>31-05-2025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2026-05-06T16:08:09Z</dcterms:created>
  <dc:creator>Apache POI</dc:creator>
</cp:coreProperties>
</file>