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cung cấp dịch vụ kiểm định, hiệu chuẩn, thử nghiệm (gọi tắt là tổ chức đăng ký) lập 01 bộ hồ sơ đề nghị cấp lại giấy chứng nhận đăng ký cung cấp dịch vụ kiểm định, hiệu chuẩn, thử nghiệm theo quy định đến Tổng cục Tiêu chuẩn Đo lường Chất lượng (gọi tắt là Tổng cục).
Bước 2: Tổng cục tiếp nhận hồ sơ, xem xét, thẩm định theo quy định: 
- Trường hợp hồ sơ đầy đủ và hợp lệ, trong thời hạn 07 ngày làm việc kể từ ngày nhận được hồ sơ, Bộ Khoa học và Công nghệ chịu trách nhiệm cấp giấy chứng nhận đăng ký cung cấp dịch vụ kiểm định, hiệu chuẩn, thử nghiệm phương tiện đo, chuẩn đo lường.
- Trường hợp hồ sơ không hợp lệ hoặc chưa đầy đủ, trong thời hạn 05 ngày làm việc kể từ ngày nhận hồ sơ, Tổng cục thông báo cho tổ chức đăng ký về lý do từ chối xử lý hồ sơ hoặc những nội dung cần sửa đổi, bổ sung. 
- Trường hợp có thông tin, phản ảnh hoặc kết quả thanh tra, kiểm tra phát hiện một hoặc các điều kiện hoạt động của tổ chức đăng ký là không phù hợp quy định hoặc có yêu cầu của cơ quan nhà nước có thẩm quyền, trong thời hạn 30 ngày kể từ ngày nhận thông tin, phản ánh hoặc kết quả thanh tra, kiểm tra hoặc yêu cầu của cơ quan nhà nước có thẩm quyền, Tổng cục tổ chức đánh giá tại cơ sở làm căn cứ cấp giấy chứng nhận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kiểm tra trên hồ sơ 07 ngày làm việc kể từ ngày hồ sơ đầy đủ, hợp lệ. 
- Trường hợp có đánh giá tại cơ sở 37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kiểm tra trên hồ sơ 07 ngày làm việc kể từ ngày hồ sơ đầy đủ, hợp lệ.
- Trường hợp có đánh giá tại cơ sở 37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kiểm tra trên hồ sơ 07 ngày làm việc kể từ ngày hồ sơ đầy đủ, hợp lệ.
- Trường hợp có đánh giá tại cơ sở 37 ngày làm việc kể từ ngày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Trường hợp giấy chứng nhận đăng ký bị mất hoặc bị hư hỏng không thể tiếp tục được sử dụng: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của tổ chức cung cấp dịch vụ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(đối với trường hợp giấy chứng nhận đăng ký hoạt động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Trường hợp điều chỉnh nội dung của giấy chứng nhận đăng ký hoạt động đã được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cung cấp dịch vụ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Dondangkycungcapdichvu.docx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cơ sở vật chất kỹ thuật, nhân lực (đối với trường hợp điều chỉnh lĩnh vực hoạt động);</w:t>
            </w:r>
          </w:p>
        </w:tc>
        <w:tc>
          <w:p/>
          <w:p>
            <w:pPr>
              <w:spacing w:after="0" w:before="0" w:lineRule="auto" w:line="276"/>
              <w:jc w:val="left"/>
            </w:pPr>
            <w:r>
              <w:rPr>
                <w:rFonts w:ascii="Times New Roman" w:hAnsi="Times New Roman" w:cs="Times New Roman" w:eastAsia="Times New Roman"/>
                <w:b w:val="false"/>
                <w:sz w:val="26"/>
              </w:rPr>
              <w:t>BÁO CÁO VỀ CƠ SỞ VẬT CHẤT KỸ THUẬT, NHÂN LỰC.docx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quyết định thành lập hoặc giấy chứng nhận đăng ký hoạt động khoa học và công nghệ hoặc giấy chứng nhận đăng ký kinh doanh do cơ quan nhà nước có thẩm quyền cấp (đối với trường hợp điều chỉnh tên, địa chỉ trụ sở chính của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giấy tờ có liên quan đến nội dung điều chỉnh (đối với các trường hợp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Trường hợp cấp lại giấy chứng nhận đăng ký đã bị chấm dứt hiệu lực theo quy định tại Khoản 1 Điều 8 của Nghị định số 105/2016/NĐ-CP và tổ chức cung cấp dịch vụ đã hoàn thành các biện pháp khắc phục: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được cấp lại giấy chứng nhận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giấy tờ chứng minh đã hoàn thành các biện pháp khắc phục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04/2011/QH13 </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01-07-2012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lại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2026-05-01T12:15:49Z</dcterms:created>
  <dc:creator>Apache POI</dc:creator>
</cp:coreProperties>
</file>