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cấp Học viện, Nhà trường, Viện nghiên cứu, Bệnh viện và cấp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Thụ lý tố cáo</w:t>
      </w:r>
    </w:p>
    <w:p>
      <w:pPr>
        <w:spacing w:after="0" w:before="0" w:lineRule="auto" w:line="276"/>
        <w:jc w:val="both"/>
      </w:pPr>
      <w:r>
        <w:rPr>
          <w:rFonts w:ascii="Times New Roman" w:hAnsi="Times New Roman" w:cs="Times New Roman" w:eastAsia="Times New Roman"/>
          <w:b w:val="false"/>
          <w:sz w:val="26"/>
        </w:rPr>
        <w:t>Trước khi thụ lý tố cáo, người giải quyết tố cáo tự mình hoặc giao cơ quan Thanh tra hoặc cán bộ phụ trách thanh tra kiêm nhiệm cùng cấp xác minh thông tin về người tố cáo và điều kiện thụ lý tố cáo. Trường hợp người tố cáo không cư trú tại địa bàn quản lý hoặc gặp khó khăn trong việc xác minh thì người giải quyết tố cáo có thể giao các cơ quan, đơn vị thuộc Học viện, Nhà trường, Viện nghiên cứu, Bệnh viện và cấp tương đương xác minh thông tin cần thiết phục vụ việc ra quyết định thụ lý tố cáo. Người giải quyết tố cáo ra quyết định thụ lý tố cáo khi có đủ các điều kiện sau:
	- Tố cáo được thực hiện theo quy định tại Điều 23 Luật Tố cáo năm 2018.
	+ Trường hợp tố cáo được thực hiện bằng đơn thì trong đơn tố cáo phải ghi rõ ngày, tháng, năm tố cáo; họ, tên, địa chỉ của người tố cáo, cách thức liên hệ với người tố cáo; hành vi vi phạm pháp luật bị tố cáo; người bị tố cáo và các thông tin khác có liên quan. Trường hợp nhiều người cùng tố cáo về cùng một nội dung thì trong đơn tố cáo còn phải ghi rõ họ, tên, địa chỉ, cách thức liên hệ với từng người tố cáo; họ tên của người đại diện cho những người tố cáo. Người tố cáo phải ký tên hoặc điểm chỉ vào đơn tố cáo.
	+ Trường hợp người tố cáo đến tố cáo trực tiếp tại cơ quan, tổ chức có thẩm quyền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 Người tố cáo có đủ năng lực hành vi dân sự; trường hợp không có đủ năng lực hành vi dân sự thì phải có người đại diện theo quy định của pháp luật.
	- Vụ việc thuộc thẩm quyền giải quyết tố cáo của cơ quan, tổ chức, cá nhân tiếp nhận tố cáo.
	-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w:t>
      </w:r>
    </w:p>
    <w:p>
      <w:pPr>
        <w:shd w:val="clear" w:color="auto" w:fill="F2F6F9"/>
        <w:spacing w:after="0" w:before="120" w:lineRule="auto" w:line="276"/>
        <w:jc w:val="both"/>
      </w:pPr>
      <w:r>
        <w:rPr>
          <w:rFonts w:ascii="Times New Roman" w:hAnsi="Times New Roman" w:cs="Times New Roman" w:eastAsia="Times New Roman"/>
          <w:b w:val="true"/>
          <w:sz w:val="26"/>
        </w:rPr>
        <w:t>Bước 2: Xác minh nội dung tố cáo</w:t>
      </w:r>
    </w:p>
    <w:p>
      <w:pPr>
        <w:spacing w:after="0" w:before="0" w:lineRule="auto" w:line="276"/>
        <w:jc w:val="both"/>
      </w:pPr>
      <w:r>
        <w:rPr>
          <w:rFonts w:ascii="Times New Roman" w:hAnsi="Times New Roman" w:cs="Times New Roman" w:eastAsia="Times New Roman"/>
          <w:b w:val="false"/>
          <w:sz w:val="26"/>
        </w:rPr>
        <w:t>- Người giải quyết tố cáo tự mình tiến hành xác minh hoặc thành lập Đoàn xác minh tố cáo hoặc Tổ xác minh tố cáo (sau đây gọi chung là Tổ xác minh). Trường hợp thành lập Tổ xác minh thì phải có từ hai người trở lên, trong đó giao cho một người làm Tổ trưởng.
- Trường hợp người giải quyết tố cáo giao cho cơ quan thanh tra cùng cấp hoặc cơ quan, tổ chức, cá nhân khác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(gọi chung là người xác minh nội dung tố cáo) có trách nhiệm thành lập Tổ xác minh theo quy định tại khoản 1 Điều này.  
	-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 Trong quá trình xác minh, người xác minh nội dung tố cáo phải tạo điều kiện để người bị tố cáo giải trình, đưa ra các chứng cứ để chứng minh tính đúng, sai của nội dung cần xác minh.
	- Người xác minh nội dung tố cáo được thực hiện các quyền và nghĩa vụ quy định tại các điểm a, b, c, d khoản 1 và các điểm a, b, c khoản 2 Điều 11 của Luật Tố cáo năm 2018 theo phân công của người giải quyết tố cáo.
	- Kết thúc việc xác minh nội dung tố cáo, người xác minh nội dung tố cáo phải có văn bản báo cáo người giải quyết tố cáo về kết quả xác minh nội dung tố cáo và kiến nghị biện pháp xử lý.</w:t>
      </w:r>
    </w:p>
    <w:p>
      <w:pPr>
        <w:shd w:val="clear" w:color="auto" w:fill="F2F6F9"/>
        <w:spacing w:after="0" w:before="120" w:lineRule="auto" w:line="276"/>
        <w:jc w:val="both"/>
      </w:pPr>
      <w:r>
        <w:rPr>
          <w:rFonts w:ascii="Times New Roman" w:hAnsi="Times New Roman" w:cs="Times New Roman" w:eastAsia="Times New Roman"/>
          <w:b w:val="true"/>
          <w:sz w:val="26"/>
        </w:rPr>
        <w:t>Bước 3: Kết luận nội dung tố cáo</w:t>
      </w:r>
    </w:p>
    <w:p>
      <w:pPr>
        <w:spacing w:after="0" w:before="0" w:lineRule="auto" w:line="276"/>
        <w:jc w:val="both"/>
      </w:pPr>
      <w:r>
        <w:rPr>
          <w:rFonts w:ascii="Times New Roman" w:hAnsi="Times New Roman" w:cs="Times New Roman" w:eastAsia="Times New Roman"/>
          <w:b w:val="false"/>
          <w:sz w:val="26"/>
        </w:rPr>
        <w:t>Theo quy định tại Điều 35 Luật Tố cáo năm 2018 và Điều 17 Nghị định 31/2019/NĐ-CP:
	- Căn cứ vào nội dung tố cáo, giải trình của người bị tố cáo, kết quả xác minh nội dung tố cáo, tài liệu, chứng cứ có liên quan, người giải quyết tố cáo ban hành kết luận nội dung tố cáo. Kết luận nội dung tố cáo có các nội dung chính sau đây:
	+ Kết quả xác minh nội dung tố cáo.
	+ Căn cứ pháp luật để xác định có hay không có hành vi vi phạm pháp luật.
	+ Kết luận về nội dung tố cáo là đúng, đúng một phần hoặc tố cáo sai sự thật; xác định trách nhiệm của từng cơ quan, tổ chức, cá nhân liên quan đến nội dung tố cáo.
	+ Các biện pháp xử lý theo thẩm quyền cần thực hiện; kiến nghị cơ quan, tổ chức, cá nhân khác áp dụng các biện pháp xử lý theo thẩm quyền đối với cơ quan, tổ chức, cá nhân có vi phạm pháp luật.
	+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 Chậm nhất là 05 ngày làm việc kể từ ngày ban hành kết luận nội dung tố cáo, người giải quyết tố cáo gửi kết luận nội dung tố cáo đến người bị tố cáo, cơ quan, tổ chức quản lý người bị tố cáo và cơ quan, tổ chức, cá nhân có liên quan; thông báo về kết luận nội dung tố cáo đến người tố cáo.</w:t>
      </w:r>
    </w:p>
    <w:p>
      <w:pPr>
        <w:shd w:val="clear" w:color="auto" w:fill="F2F6F9"/>
        <w:spacing w:after="0" w:before="120" w:lineRule="auto" w:line="276"/>
        <w:jc w:val="both"/>
      </w:pPr>
      <w:r>
        <w:rPr>
          <w:rFonts w:ascii="Times New Roman" w:hAnsi="Times New Roman" w:cs="Times New Roman" w:eastAsia="Times New Roman"/>
          <w:b w:val="true"/>
          <w:sz w:val="26"/>
        </w:rPr>
        <w:t>Bước 4: Xử lý kết luận nội dung tố cáo</w:t>
      </w:r>
    </w:p>
    <w:p>
      <w:pPr>
        <w:spacing w:after="0" w:before="0" w:lineRule="auto" w:line="276"/>
        <w:jc w:val="both"/>
      </w:pPr>
      <w:r>
        <w:rPr>
          <w:rFonts w:ascii="Times New Roman" w:hAnsi="Times New Roman" w:cs="Times New Roman" w:eastAsia="Times New Roman"/>
          <w:b w:val="false"/>
          <w:sz w:val="26"/>
        </w:rPr>
        <w:t>Theo quy định tại Điều 36 Luật Tố cáo năm 2018 và Điều 18 Nghị định số 31/2019/NĐ-CP:
	- Chậm nhất là 07 ngày làm việc kể từ ngày ban hành kết luận nội dung tố cáo, người giải quyết tố cáo căn cứ vào kết luận nội dung tố cáo tiến hành việc xử lý như sau:
	+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 Trường hợp hành vi vi phạm của người bị tố cáo có dấu hiệu của tội phạm thì chuyển ngay hồ sơ vụ việc đến Cơ quan điều tra hình sự hoặc Viện kiểm sát quân sự có thẩm quyền để xử lý theo quy định của pháp luật.
	- Trong thời hạn 05 ngày làm việc kể từ ngày có kết quả xử lý, cơ quan, đơn vị, cá nhân có thẩm quyền xử lý kiến nghị trong kết luận nội dung tố cáo có trách nhiệm thông báo bằng văn bản cho người giải quyết tố cáo về kết quả xử lý.
	Người giải quyết tố cáo theo dõi, đôn đốc hoặc giao cho cơ quan, đơn vị có thẩm quyền theo dõi, đôn đốc việc thực hiện kết luận nội dung tố cáo. Trường hợp giao cho cơ quan, đơn vị, cá nhân có thẩm quyền theo dõi, đôn đốc việc thực hiện kết luận nội dung tố cáo thì cơ quan, đơn vị, cá nhân đó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tại Điều 30 Luật Tố cáo năm 2018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tại Điều 30 Luật Tố cáo năm 2018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văn bản ghi nội dung tố cáo</w:t>
            </w:r>
          </w:p>
        </w:tc>
        <w:tc>
          <w:p/>
          <w:p>
            <w:pPr>
              <w:spacing w:after="0" w:before="0" w:lineRule="auto" w:line="276"/>
              <w:jc w:val="left"/>
            </w:pPr>
            <w:r>
              <w:rPr>
                <w:rFonts w:ascii="Times New Roman" w:hAnsi="Times New Roman" w:cs="Times New Roman" w:eastAsia="Times New Roman"/>
                <w:b w:val="false"/>
                <w:sz w:val="26"/>
              </w:rPr>
              <w:t>MẪU BIỂU -CHÍNH THỨC.doc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học viện, Hiệu trưởng nhà trường, Viện trưởng viện nghiên cứu, Giám đốc bệnh viện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việc xử lý 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28/2019/NĐ-CP</w:t>
            </w:r>
          </w:p>
        </w:tc>
        <w:tc>
          <w:p/>
          <w:p>
            <w:pPr>
              <w:spacing w:after="0" w:before="0" w:lineRule="auto" w:line="276"/>
              <w:jc w:val="left"/>
            </w:pPr>
            <w:r>
              <w:rPr>
                <w:rFonts w:ascii="Times New Roman" w:hAnsi="Times New Roman" w:cs="Times New Roman" w:eastAsia="Times New Roman"/>
                <w:b w:val="false"/>
                <w:sz w:val="26"/>
              </w:rPr>
              <w:t>Nghị định 28/2019/NĐ-CP</w:t>
            </w:r>
          </w:p>
        </w:tc>
        <w:tc>
          <w:p/>
          <w:p>
            <w:pPr>
              <w:spacing w:after="0" w:before="0" w:lineRule="auto" w:line="276"/>
              <w:jc w:val="left"/>
            </w:pPr>
            <w:r>
              <w:rPr>
                <w:rFonts w:ascii="Times New Roman" w:hAnsi="Times New Roman" w:cs="Times New Roman" w:eastAsia="Times New Roman"/>
                <w:b w:val="false"/>
                <w:sz w:val="26"/>
              </w:rPr>
              <w:t>20-03-2019</w:t>
            </w:r>
          </w:p>
        </w:tc>
        <w:tc>
          <w:p/>
        </w:tc>
      </w:tr>
      <w:tr>
        <w:tc>
          <w:p/>
          <w:p>
            <w:pPr>
              <w:spacing w:after="0" w:before="0" w:lineRule="auto" w:line="276"/>
              <w:jc w:val="left"/>
            </w:pPr>
            <w:r>
              <w:rPr>
                <w:rFonts w:ascii="Times New Roman" w:hAnsi="Times New Roman" w:cs="Times New Roman" w:eastAsia="Times New Roman"/>
                <w:b w:val="false"/>
                <w:sz w:val="26"/>
              </w:rPr>
              <w:t>5166/QĐ-BQP</w:t>
            </w:r>
          </w:p>
        </w:tc>
        <w:tc>
          <w:p/>
          <w:p>
            <w:pPr>
              <w:spacing w:after="0" w:before="0" w:lineRule="auto" w:line="276"/>
              <w:jc w:val="left"/>
            </w:pPr>
            <w:r>
              <w:rPr>
                <w:rFonts w:ascii="Times New Roman" w:hAnsi="Times New Roman" w:cs="Times New Roman" w:eastAsia="Times New Roman"/>
                <w:b w:val="false"/>
                <w:sz w:val="26"/>
              </w:rPr>
              <w:t>Quyết định số 5166/QĐ-BQP ngày 11/11/2019 của Bộ Quốc phòng ban hành danh mục mẫu văn bản sử dụng trong hoạt động thanh tra, tiếp công dân, giải quyết khiếu nại, giải quyết tố cáo trong Bộ Quốc phòng./.</w:t>
            </w:r>
          </w:p>
        </w:tc>
        <w:tc>
          <w:p/>
          <w:p>
            <w:pPr>
              <w:spacing w:after="0" w:before="0" w:lineRule="auto" w:line="276"/>
              <w:jc w:val="left"/>
            </w:pPr>
            <w:r>
              <w:rPr>
                <w:rFonts w:ascii="Times New Roman" w:hAnsi="Times New Roman" w:cs="Times New Roman" w:eastAsia="Times New Roman"/>
                <w:b w:val="false"/>
                <w:sz w:val="26"/>
              </w:rPr>
              <w:t>11-11-2019</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giải quyết tố cáo ra quyết định thụ lý tố cáo khi có đủ các điều kiện sau:
	- Theo quy định tại khoản 1 Điều 29 Luật Tố cáo năm 2018: 
	+ Tố cáo được thực hiện theo quy định tại Điều 23 của Luật Tố cáo năm 2018.
	+ Người tố cáo có đủ năng lực hành vi dân sự; trường hợp không có đủ năng lực hành vi dân sự thì phải có người đại diện theo quy định của pháp luật.
	+ Vụ việc thuộc thẩm quyền giải quyết tố cáo của cơ quan, tổ chức, cá nhân tiếp nhận tố cáo.
	+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 Người bị tố cáo không thuộc đối tượng theo quy định tại Điều 8 Nghị định số 28/2019/NĐ-CP ngày 20/3/2019 của Chính phủ về tố cáo và giải quyết tố cáo trong Quân đội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2026-05-23T16:47:05Z</dcterms:created>
  <dc:creator>Apache POI</dc:creator>
</cp:coreProperties>
</file>