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hoặc cấp lại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Thân nhân liệt sĩ hoặc người thờ cúng liệt sĩ có đơn đề nghị </w:t>
      </w:r>
    </w:p>
    <w:p>
      <w:pPr>
        <w:spacing w:after="0" w:before="0" w:lineRule="auto" w:line="276"/>
        <w:jc w:val="both"/>
      </w:pPr>
      <w:r>
        <w:rPr>
          <w:rFonts w:ascii="Times New Roman" w:hAnsi="Times New Roman" w:cs="Times New Roman" w:eastAsia="Times New Roman"/>
          <w:b w:val="false"/>
          <w:sz w:val="26"/>
        </w:rPr>
        <w:t>Bước 2: Ủy ban nhân dân cấp xã trong thời hạn 05 ngày xác nhận vào đơn đề nghị, tổng hợp và lập danh sách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3: Phòng Lao động - Thương binh và Xã hội trong thời hạn 05 ngày có trách nhiệm lập và gửi danh sách đổi hoặc cấp lại Bằng đến Sở Lao động - Thương binh và Xã hội</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hạn 30  ngày có trách nhiệm kiểm tra, đối chiếu hồ sơ liệt sĩ, lập danh sách liệt sĩ có đầy đủ thông tin gửi Bộ Lao động - Thương binh và Xã hội (Cục Người có công) kèm công văn đề nghị</w:t>
      </w:r>
    </w:p>
    <w:p>
      <w:pPr>
        <w:spacing w:after="0" w:before="0" w:lineRule="auto" w:line="276"/>
        <w:jc w:val="both"/>
      </w:pPr>
      <w:r>
        <w:rPr>
          <w:rFonts w:ascii="Times New Roman" w:hAnsi="Times New Roman" w:cs="Times New Roman" w:eastAsia="Times New Roman"/>
          <w:b w:val="false"/>
          <w:sz w:val="26"/>
        </w:rPr>
        <w:t>Bước 5: Bộ Lao động - Thương binh và Xã hội có trách nhiệm in Bằng, gửi Văn phòng Chính phủ trình Thủ tướng Chính phủ</w:t>
      </w:r>
    </w:p>
    <w:p>
      <w:pPr>
        <w:spacing w:after="0" w:before="0" w:lineRule="auto" w:line="276"/>
        <w:jc w:val="both"/>
      </w:pPr>
      <w:r>
        <w:rPr>
          <w:rFonts w:ascii="Times New Roman" w:hAnsi="Times New Roman" w:cs="Times New Roman" w:eastAsia="Times New Roman"/>
          <w:b w:val="false"/>
          <w:sz w:val="26"/>
        </w:rPr>
        <w:t>Bước 6: Sở Lao động - Thương binh và Xã hội có trách nhiệm tiếp nhận Bằng "Tổ quốc ghi công" từ Cục Người có công để chuyển đến gia đình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(Mẫu TQ1)</w:t>
            </w:r>
          </w:p>
        </w:tc>
        <w:tc>
          <w:p/>
          <w:p>
            <w:pPr>
              <w:spacing w:after="0" w:before="0" w:lineRule="auto" w:line="276"/>
              <w:jc w:val="left"/>
            </w:pPr>
            <w:r>
              <w:rPr>
                <w:rFonts w:ascii="Times New Roman" w:hAnsi="Times New Roman" w:cs="Times New Roman" w:eastAsia="Times New Roman"/>
                <w:b w:val="false"/>
                <w:sz w:val="26"/>
              </w:rPr>
              <w:t>Mẫu TQ1.docx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đề nghị đổi hoặc cấp lại Bằng "Tổ quốc ghi công" (Mẫu TQ2)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Sở Lao động-Thương binh và Xã hội, Ủy ban Nhân dân xã, phường, thị trấn., 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Tổ quốc ghi công và Giấy chứng nhận gia đình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2026-05-18T12:02:34Z</dcterms:created>
  <dc:creator>Apache POI</dc:creator>
</cp:coreProperties>
</file>