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Quyết định chỉ định hết hiệu lực 90 ngày, cơ sở kiểm nghiệm nộp hồ sơ gia hạn chỉ định về Cục An toàn thực phẩm.</w:t>
      </w:r>
    </w:p>
    <w:p>
      <w:pPr>
        <w:spacing w:after="0" w:before="0" w:lineRule="auto" w:line="276"/>
        <w:jc w:val="both"/>
      </w:pPr>
      <w:r>
        <w:rPr>
          <w:rFonts w:ascii="Times New Roman" w:hAnsi="Times New Roman" w:cs="Times New Roman" w:eastAsia="Times New Roman"/>
          <w:b w:val="false"/>
          <w:sz w:val="26"/>
        </w:rPr>
        <w:t>Bước 2: Cục An toàn thực phẩm xem xét cấp gia hạn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qua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ký gia hạn chỉ định cơ sở kiểm nghiệm theo mẫu quy định tại Phụ lục 1 ban hành kèm theo Thông tư 20/2013/TTLT-BYT-BCT-BNNPTNT;</w:t>
            </w:r>
          </w:p>
        </w:tc>
        <w:tc>
          <w:p/>
          <w:p>
            <w:pPr>
              <w:spacing w:after="0" w:before="0" w:lineRule="auto" w:line="276"/>
              <w:jc w:val="left"/>
            </w:pPr>
            <w:r>
              <w:rPr>
                <w:rFonts w:ascii="Times New Roman" w:hAnsi="Times New Roman" w:cs="Times New Roman" w:eastAsia="Times New Roman"/>
                <w:b w:val="false"/>
                <w:sz w:val="26"/>
              </w:rPr>
              <w:t>GiahanKiemnghiem.docx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so sánh liên phòng, thử nghiệm thành thạo đối với chỉ tiêu/phép thử do cơ quan quản lý nhà nước có thẩm quyền hoặc từ các nhà cung cấp thử nghiệm thành thạo, liên quan đến phạm vi đăng ký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thực hiện công tác kiểm nghiệm trong thời gian được chỉ định theo mẫu quy định tại Phụ lục 4 ban hành kèm theo Thông tư 20/2013/TTLT-BYT-BCT-BNNPTNT.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38/2012/NĐ-CP</w:t>
            </w:r>
          </w:p>
        </w:tc>
        <w:tc>
          <w:p/>
          <w:p>
            <w:pPr>
              <w:spacing w:after="0" w:before="0" w:lineRule="auto" w:line="276"/>
              <w:jc w:val="left"/>
            </w:pPr>
            <w:r>
              <w:rPr>
                <w:rFonts w:ascii="Times New Roman" w:hAnsi="Times New Roman" w:cs="Times New Roman" w:eastAsia="Times New Roman"/>
                <w:b w:val="false"/>
                <w:sz w:val="26"/>
              </w:rPr>
              <w:t>Nghị định 38/2012/NĐ-CP</w:t>
            </w:r>
          </w:p>
        </w:tc>
        <w:tc>
          <w:p/>
          <w:p>
            <w:pPr>
              <w:spacing w:after="0" w:before="0" w:lineRule="auto" w:line="276"/>
              <w:jc w:val="left"/>
            </w:pPr>
            <w:r>
              <w:rPr>
                <w:rFonts w:ascii="Times New Roman" w:hAnsi="Times New Roman" w:cs="Times New Roman" w:eastAsia="Times New Roman"/>
                <w:b w:val="false"/>
                <w:sz w:val="26"/>
              </w:rPr>
              <w:t>25-04-2012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Thông tư liên tịch 20/2013/TTLT-BYT-BCT-BNNPTNT</w:t>
            </w:r>
          </w:p>
        </w:tc>
        <w:tc>
          <w:p/>
          <w:p>
            <w:pPr>
              <w:spacing w:after="0" w:before="0" w:lineRule="auto" w:line="276"/>
              <w:jc w:val="left"/>
            </w:pPr>
            <w:r>
              <w:rPr>
                <w:rFonts w:ascii="Times New Roman" w:hAnsi="Times New Roman" w:cs="Times New Roman" w:eastAsia="Times New Roman"/>
                <w:b w:val="false"/>
                <w:sz w:val="26"/>
              </w:rPr>
              <w:t>01-08-2013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2026-05-09T03:15:24Z</dcterms:created>
  <dc:creator>Apache POI</dc:creator>
</cp:coreProperties>
</file>