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lưu hành nguyên liệu làm thuốc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Mục 4 (Điều 31; Điều 32 Thông tư số 08/2022/TT-BYT ngày 05/09/2022.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09/TTban hành kèm theo Thông tư số 08/2022/TT-BYT ngày 05/09/2022.</w:t>
      </w:r>
    </w:p>
    <w:p>
      <w:pPr>
        <w:spacing w:after="0" w:before="0" w:lineRule="auto" w:line="276"/>
        <w:jc w:val="both"/>
      </w:pPr>
      <w:r>
        <w:rPr>
          <w:rFonts w:ascii="Times New Roman" w:hAnsi="Times New Roman" w:cs="Times New Roman" w:eastAsia="Times New Roman"/>
          <w:b w:val="false"/>
          <w:sz w:val="26"/>
        </w:rPr>
        <w:t>Bước 3: Trong thời hạn 06 tháng kể từ ngày ghi trên phiếu tiếp nhận hồ sơ, Cục Quản lý Dược - Bộ Y tế có trách nhiệm:
a) Tổ chức thẩm định hồ sơ đăng ký;
b) Trình Hội đồng tư vấn cấp giấy đăng ký lưu hành thuốc đối với các hồ sơ đăng ký đề nghị cấp, không cấp hoặc đề xuất xin ý kiến thẩm định, tư vấn của Hội Đồng.
     c) Cấp giấy đăng ký lưu hành thuốc theo kết luận của Hội đồng thẩm định, tư vấn cấp giấy đăng ký lưu hành sau khi có phê duyệt của Lãnh đạo Bộ Y tế.</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phải có văn bản trả lời:
- Thời gian cơ sở đăng ký sửa đổi, bổ sung hồ sơ :
+ Không quá 36 tháng  định kể từ ngày có văn bản của Cục Quản Dược - Bộ Y tế đối với trường hợp phải bổ sung tài liệu tiền lâm sàng, lâm sàng, tương đương sinh học, nghiên cứu độ ổn định.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cấp giấy đăng ký lưu hành nguyên liệu làm thuốc hoặc chưa đáp ứng đủ điều kiện cấp giấy đăng ký lưu hành nguyên liệu làm thuốc,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5: Hồ sơ bổ sung được nộp trực tuyến, qua đường bưu điện hoặc nộp trực tiếp đến Cục Quản lý Dược. Trình tự giải quyết thực hiện từ Bước 1. Trong thời hạn 03 tháng kể từ ngày nhận đủ tài liệu bổ sung, Cục Quản lý Dược ban hành quyết định cấp giấy đăng ký lưu hành đối với hồ sơ đạt yêu cầu; Cục Quản lý Dược có văn bản trả lời theo kết luận của Hội đồng đối với hồ sơ thẩm định chưa đạt, không đạt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5.500.000 (VNĐ) Đồng</w:t>
            </w:r>
          </w:p>
        </w:tc>
        <w:tc>
          <w:p/>
          <w:p>
            <w:pPr>
              <w:spacing w:after="0" w:before="0" w:lineRule="auto" w:line="276"/>
              <w:jc w:val="left"/>
            </w:pPr>
            <w:r>
              <w:rPr>
                <w:rFonts w:ascii="Times New Roman" w:hAnsi="Times New Roman" w:cs="Times New Roman" w:eastAsia="Times New Roman"/>
                <w:b w:val="false"/>
                <w:sz w:val="26"/>
              </w:rPr>
              <w:t>12 tháng kể từ ngày nhận đủ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5.500.000 (VNĐ) Đồng</w:t>
            </w:r>
          </w:p>
        </w:tc>
        <w:tc>
          <w:p/>
          <w:p>
            <w:pPr>
              <w:spacing w:after="0" w:before="0" w:lineRule="auto" w:line="276"/>
              <w:jc w:val="left"/>
            </w:pPr>
            <w:r>
              <w:rPr>
                <w:rFonts w:ascii="Times New Roman" w:hAnsi="Times New Roman" w:cs="Times New Roman" w:eastAsia="Times New Roman"/>
                <w:b w:val="false"/>
                <w:sz w:val="26"/>
              </w:rPr>
              <w:t>12 tháng kể từ ngày nhận đủ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Lệ phí : 5.500.000 (VNĐ) Đồng</w:t>
            </w:r>
          </w:p>
        </w:tc>
        <w:tc>
          <w:p/>
          <w:p>
            <w:pPr>
              <w:spacing w:after="0" w:before="0" w:lineRule="auto" w:line="276"/>
              <w:jc w:val="left"/>
            </w:pPr>
            <w:r>
              <w:rPr>
                <w:rFonts w:ascii="Times New Roman" w:hAnsi="Times New Roman" w:cs="Times New Roman" w:eastAsia="Times New Roman"/>
                <w:b w:val="false"/>
                <w:sz w:val="26"/>
              </w:rPr>
              <w:t>12 tháng kể từ ngày nhận đủ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1.Đơn đăng ký theo Mẫu 5/TT ban hành kèm theo Thông tư này</w:t>
            </w:r>
          </w:p>
        </w:tc>
        <w:tc>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4.docx</w:t>
            </w:r>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ủy quyền đứng tên cơ sở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ủy quyền ký tên trên hồ sơ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Mẫu nhãn thuốc, nguyên liệu làm thuốc và tờ hướng dẫn sử dụng thuốc dự kiến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Giấy chứng nhận đủ điều kiện kinh doanh dược đối với cơ sở đăng ký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pháp lý, giấy phép thành lập văn phòng đại diện tại Việt Nam đối với cơ sở đăng ký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Giấy tờ pháp lý của cơ sở sản xuất dược chất, tá dược, vỏ nang, bán thành phẩm dược liệu, dược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Giấy chứng nhận của cơ sở kiểm nghiệm đối với trường hợp quy định tại khoản 16 Điều 22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Mẫu nhãn thuốc và tờ hướng dẫn sử dụng thuốc lưu hành thực tế tại nước sản xuất hoặc nước cấp CPP đối với hồ sơ đăng ký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10. Giấy chứng nhận CPP đối với hồ sơ đăng ký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Tài liệu đánh giá việc đáp ứng GMP đối với các trường hợp quy định tại Điều 95 Nghị định số 54/2017/NĐ-CP đối với cơ sở sản xuất thuốc, nguyên liệu làm thuốc nước ngoài khi đăng ký lưu hành tại Việt Nam đối với hồ sơ đăng ký thuốc nước ngoài (trừ trường hợp cơ sở đã được công bố thông tin đáp ứng GMP trên trang thông tin điện tử của Cục Quản lý Dược hoặc cơ sở đã nộp hồ sơ đề nghị Cục Quản lý Dược đánh giá đáp ứng GMP).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07/2022/TT-BYT</w:t>
            </w:r>
          </w:p>
        </w:tc>
        <w:tc>
          <w:p/>
          <w:p>
            <w:pPr>
              <w:spacing w:after="0" w:before="0" w:lineRule="auto" w:line="276"/>
              <w:jc w:val="left"/>
            </w:pPr>
            <w:r>
              <w:rPr>
                <w:rFonts w:ascii="Times New Roman" w:hAnsi="Times New Roman" w:cs="Times New Roman" w:eastAsia="Times New Roman"/>
                <w:b w:val="false"/>
                <w:sz w:val="26"/>
              </w:rPr>
              <w:t>QUY ĐỊNH THUỐC PHẢI THỬ TƯƠNG ĐƯƠNG SINH HỌC VÀ CÁC YÊU CẦU ĐỐI VỚI HỒ SƠ BÁO CÁO SỐ LIỆU NGHIÊN CỨU TƯƠNG ĐƯƠNG SINH HỌC TRONG ĐĂNG KÝ LƯU HÀNH THUỐC TẠI VIỆT NAM</w:t>
            </w:r>
          </w:p>
        </w:tc>
        <w:tc>
          <w:p/>
          <w:p>
            <w:pPr>
              <w:spacing w:after="0" w:before="0" w:lineRule="auto" w:line="276"/>
              <w:jc w:val="left"/>
            </w:pPr>
            <w:r>
              <w:rPr>
                <w:rFonts w:ascii="Times New Roman" w:hAnsi="Times New Roman" w:cs="Times New Roman" w:eastAsia="Times New Roman"/>
                <w:b w:val="false"/>
                <w:sz w:val="26"/>
              </w:rPr>
              <w:t>05-09-2022</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Cấp giấy đăng ký lưu hành thuốc, nguyên liệu làm thuốc trong trường hợp sau đây:
a) Thuốc, nguyên liệu làm thuốc chưa được cấp giấy đăng ký lưu hành tại Việt Nam;
b) Thuốc đã được cấp giấy đăng ký lưu hành nhưng có thay đổi về thành phần dược chất, dược liệu; hàm lượng, nồng độ hoặc khối lượng các thành phần dược chất, dược liệu có tác dụng; dạng bào chế; đường dùng; cơ sở sản xuất, trừ trường hợp thay đổi cơ sở đóng gói thứ cấp, cơ sở xuất xưởng, địa điểm xuất xưởng;
c) Nguyên liệu làm thuốc đã được cấp giấy đăng ký lưu hành nhưng có thay đổi về cơ sở sản xuất, trừ trường hợp thay đổi cơ sở đóng gói thứ cấp, cơ sở xuất xưởng, địa điểm xuất xưởng.
(Khoản 2 Điều 55 Luật Dược)
2. Cơ sở được đứng tên đăng ký thuốc, nguyên liệu làm thuốc trong trường hợp sau đây:
a) Cơ sở có hoạt động sản xuất, bán buôn, xuất khẩu, nhập khẩu thuốc, nguyên liệu làm thuốc tại Việt Nam;
b) Cơ sở kinh doanh thuốc, nguyên liệu làm thuốc của nước ngoài có văn phòng đại diện tại Việt Nam.
(Khoản 3 Điều 54, Điều 33 Luật Dược)
3. Nộp đầy đủ hồ sơ theo quy định tại khoản 1 Điều 32, Điều 22 Thông tư 08/2022/TT-BYT: Hồ sơ đề nghị cấp giấy đăng ký lưu hành nguyên liệu làm thuốc.
4. Thuốc, nguyên liệu làm thuốc được cấp giấy đăng ký lưu hành tại Việt Nam khi đáp ứng các yêu cầu sau đây:
a) Bảo đảm yêu cầu về an toàn, hiệu quả;
b) Được sản xuất tại cơ sở sản xuất thuốc, nguyên liệu làm thuốc đáp ứng Điều kiện theo quy định của Luật Dược;
c) Được sản xuất theo quy trình sản xuất thuốc, nguyên liệu làm thuốc và đạt tiêu chuẩn chất lượng theo quy định tại Điều 102 và Điều 103 của Luật Dược.
(Khoản 4 Điều 54, Điều 33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2026-05-22T16:07:40Z</dcterms:created>
  <dc:creator>Apache POI</dc:creator>
</cp:coreProperties>
</file>