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1.011217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1983/QĐ-BYT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bổ sung giấy đăng ký lưu hành thuốc, nguyên liệu làm thuốc thuộc thay đổi nhỏ cần phê duyệt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01 bộ hồ sơ đề nghị cấp giấy đăng ký lưu hành (hồ sơ đăng ký) theo quy định tại Khoản 4 Điều 27, Khoản 3 Điều 30, Khoản 3 Điều 32 Thông tư số 08/2022/TT-BYT ngày 05 tháng 09 năm 2022 đến Cục Quản Dược - Bộ Y tế (cơ quan tiếp nhận).</w:t>
      </w:r>
    </w:p>
    <w:p>
      <w:pPr>
        <w:spacing w:after="0" w:before="0" w:lineRule="auto" w:line="276"/>
        <w:jc w:val="both"/>
      </w:pPr>
      <w:r>
        <w:rPr>
          <w:rFonts w:ascii="Times New Roman" w:hAnsi="Times New Roman" w:cs="Times New Roman" w:eastAsia="Times New Roman"/>
          <w:b w:val="false"/>
          <w:sz w:val="26"/>
        </w:rPr>
        <w:t>Bước 2:  Khi nhận được hồ sơ đăng ký đủ thành phần, đạt yêu cầu về hình thức, đủ phí, Cục Quản lý  Dược - Bộ Y tế cấp cho cơ sở đăng ký Phiếu tiếp nhận hồ sơ theo Mẫu số 9/TT ban hành kèm theo Thông tư số 08/2022/TT-BYT ngày 05 tháng 09 năm 2022</w:t>
      </w:r>
    </w:p>
    <w:p>
      <w:pPr>
        <w:spacing w:after="0" w:before="0" w:lineRule="auto" w:line="276"/>
        <w:jc w:val="both"/>
      </w:pPr>
      <w:r>
        <w:rPr>
          <w:rFonts w:ascii="Times New Roman" w:hAnsi="Times New Roman" w:cs="Times New Roman" w:eastAsia="Times New Roman"/>
          <w:b w:val="false"/>
          <w:sz w:val="26"/>
        </w:rPr>
        <w:t>Bước 3: Trong thời hạn 03 tháng kể từ ngày ghi trên phiếu tiếp nhận hồ sơ, Cục Quản lý Dược - Bộ Y tế có trách nhiệm:
a) Tổ chức thẩm định hồ sơ đăng ký;
b) Trình Hội đồng tư vấn cấp giấy đăng ký lưu hành thuốc, nguyên liệu làm thuốc.
     c) Phê duyệt nội dung thay đổi.</w:t>
      </w:r>
    </w:p>
    <w:p>
      <w:pPr>
        <w:spacing w:after="0" w:before="0" w:lineRule="auto" w:line="276"/>
        <w:jc w:val="both"/>
      </w:pPr>
      <w:r>
        <w:rPr>
          <w:rFonts w:ascii="Times New Roman" w:hAnsi="Times New Roman" w:cs="Times New Roman" w:eastAsia="Times New Roman"/>
          <w:b w:val="false"/>
          <w:sz w:val="26"/>
        </w:rPr>
        <w:t>Bước 4: 
- Trường hợp hồ sơ chưa đạt yêu cầu, trong thời hạn xem xét hồ sơ đăng ký Cục Quản Dược - Bộ Y tế phải có văn bản trả lời nêu rõ lý do.
- Thời gian cơ sở đăng ký sửa đổi, bổ sung hồ sơ:
+ Không quá 36 tháng đối với trường hợp phải bổ sung tài liệu tiền lâm sàng, lâm sàng, tương đương sinh học, nghiên cứu độ ổn định kể từ ngày có văn bản của Cục Quản Dược - Bộ Y tế.
+ Không quá 12 tháng  kể từ ngày có văn bản của Cục Quản Dược - Bộ Y tế đối với các trường hợp còn lại.
Thời gian cơ sở đăng ký sửa đổi, bổ sung hồ sơ không tính vào thời hạn xem xét hồ sơ. Nếu quá thời hạn trên,  hồ sơ đăng ký không còn giá trị và cơ sở phải thực hiện lại thủ tục đăng ký.
- Trường hợp không phê duyệt, Cục Quản lý Dược - Bộ Y tế phải trả lời bằng văn bản và nêu rõ lý do.</w:t>
      </w:r>
    </w:p>
    <w:p>
      <w:pPr>
        <w:spacing w:after="0" w:before="0" w:lineRule="auto" w:line="276"/>
        <w:jc w:val="both"/>
      </w:pPr>
      <w:r>
        <w:rPr>
          <w:rFonts w:ascii="Times New Roman" w:hAnsi="Times New Roman" w:cs="Times New Roman" w:eastAsia="Times New Roman"/>
          <w:b w:val="false"/>
          <w:sz w:val="26"/>
        </w:rPr>
        <w:t>Bước 5: Hồ sơ bổ sung được nộp trực tuyến, qua đường bưu điện hoặc nộp trực tiếp đến Cục Quản lý Dược. Trình tự giải quyết thực hiện từ Bước 1. Trong thời hạn 02 tháng kể từ ngày nhận đủ tài liệu bổ sung đối với hồ sơ thay đổi liên quan đến chỉ định, liều dùng và đối tượng dùng thuốc (trừ trường hợp cập nhật theo biệt dược gốc), 01 tháng kể từ ngày nhận đủ tài liệu bổ sung đối với hồ sơ thay đổi lớn khác, Cục Quản lý Dược phê duyệt thay đổi, bổ sung giấy đăng ký lưu hành đối với hồ sơ đạt yêu cầu; có văn bản trả lời đối với hồ sơ thẩm định chưa đạt, không đạt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Lệ phí : 1.500.000 Đồng</w:t>
            </w:r>
          </w:p>
        </w:tc>
        <w:tc>
          <w:p/>
          <w:p>
            <w:pPr>
              <w:spacing w:after="0" w:before="0" w:lineRule="auto" w:line="276"/>
              <w:jc w:val="left"/>
            </w:pPr>
            <w:r>
              <w:rPr>
                <w:rFonts w:ascii="Times New Roman" w:hAnsi="Times New Roman" w:cs="Times New Roman" w:eastAsia="Times New Roman"/>
                <w:b w:val="false"/>
                <w:sz w:val="26"/>
              </w:rPr>
              <w:t>03 tháng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Lệ phí : 1.500.000 Đồng</w:t>
            </w:r>
          </w:p>
        </w:tc>
        <w:tc>
          <w:p/>
          <w:p>
            <w:pPr>
              <w:spacing w:after="0" w:before="0" w:lineRule="auto" w:line="276"/>
              <w:jc w:val="left"/>
            </w:pPr>
            <w:r>
              <w:rPr>
                <w:rFonts w:ascii="Times New Roman" w:hAnsi="Times New Roman" w:cs="Times New Roman" w:eastAsia="Times New Roman"/>
                <w:b w:val="false"/>
                <w:sz w:val="26"/>
              </w:rPr>
              <w:t>03 tháng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Lệ phí : 1.500.000 Đồng</w:t>
            </w:r>
          </w:p>
        </w:tc>
        <w:tc>
          <w:p/>
          <w:p>
            <w:pPr>
              <w:spacing w:after="0" w:before="0" w:lineRule="auto" w:line="276"/>
              <w:jc w:val="left"/>
            </w:pPr>
            <w:r>
              <w:rPr>
                <w:rFonts w:ascii="Times New Roman" w:hAnsi="Times New Roman" w:cs="Times New Roman" w:eastAsia="Times New Roman"/>
                <w:b w:val="false"/>
                <w:sz w:val="26"/>
              </w:rPr>
              <w:t>03 tháng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theo Mẫu 5/TT ban hành kèm theo Thông tư số 08/2022/TT-BYT ngày 05 tháng 09 năm 2022</w:t>
            </w:r>
          </w:p>
        </w:tc>
        <w:tc>
          <w:p/>
          <w:p>
            <w:pPr>
              <w:spacing w:after="0" w:before="0" w:lineRule="auto" w:line="276"/>
              <w:jc w:val="left"/>
            </w:pPr>
            <w:r>
              <w:rPr>
                <w:rFonts w:ascii="Times New Roman" w:hAnsi="Times New Roman" w:cs="Times New Roman" w:eastAsia="Times New Roman"/>
                <w:b w:val="false"/>
                <w:sz w:val="26"/>
              </w:rPr>
              <w:t>MẪU 5C.docx</w:t>
            </w:r>
          </w:p>
          <w:p>
            <w:pPr>
              <w:spacing w:after="0" w:before="0" w:lineRule="auto" w:line="276"/>
              <w:jc w:val="left"/>
            </w:pPr>
            <w:r>
              <w:rPr>
                <w:rFonts w:ascii="Times New Roman" w:hAnsi="Times New Roman" w:cs="Times New Roman" w:eastAsia="Times New Roman"/>
                <w:b w:val="false"/>
                <w:sz w:val="26"/>
              </w:rPr>
              <w:t>MẪU 3.docx</w:t>
            </w:r>
          </w:p>
          <w:p>
            <w:pPr>
              <w:spacing w:after="0" w:before="0" w:lineRule="auto" w:line="276"/>
              <w:jc w:val="left"/>
            </w:pPr>
            <w:r>
              <w:rPr>
                <w:rFonts w:ascii="Times New Roman" w:hAnsi="Times New Roman" w:cs="Times New Roman" w:eastAsia="Times New Roman"/>
                <w:b w:val="false"/>
                <w:sz w:val="26"/>
              </w:rPr>
              <w:t>MẪU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Các tài liệu tương ứng với các nội dung thay đổi lớn, thay đổi nhỏ quy định tại Phụ lục II ban hành kèm Thông tư  số 08/2022/TT-BYT ngày 05 tháng 09 năm 2022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Trường hợp có yêu cầu nộp hồ sơ tương đương sinh học theo quy định tại Phụ lục II Thông tư số 08/2022/TT-BYT: hồ sơ đáp ứng quy định của Thông tư số 07/2022/TT-BYT và quy định tại Phụ lục I Thông tư số 08/2022/TT-BYT.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đồng ý/không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01/2018/TT-BYT</w:t>
            </w:r>
          </w:p>
        </w:tc>
        <w:tc>
          <w:p/>
          <w:p>
            <w:pPr>
              <w:spacing w:after="0" w:before="0" w:lineRule="auto" w:line="276"/>
              <w:jc w:val="left"/>
            </w:pPr>
            <w:r>
              <w:rPr>
                <w:rFonts w:ascii="Times New Roman" w:hAnsi="Times New Roman" w:cs="Times New Roman" w:eastAsia="Times New Roman"/>
                <w:b w:val="false"/>
                <w:sz w:val="26"/>
              </w:rPr>
              <w:t>Thông tư 01/2018/TT-BYT</w:t>
            </w:r>
          </w:p>
        </w:tc>
        <w:tc>
          <w:p/>
          <w:p>
            <w:pPr>
              <w:spacing w:after="0" w:before="0" w:lineRule="auto" w:line="276"/>
              <w:jc w:val="left"/>
            </w:pPr>
            <w:r>
              <w:rPr>
                <w:rFonts w:ascii="Times New Roman" w:hAnsi="Times New Roman" w:cs="Times New Roman" w:eastAsia="Times New Roman"/>
                <w:b w:val="false"/>
                <w:sz w:val="26"/>
              </w:rPr>
              <w:t>18-01-2018</w:t>
            </w:r>
          </w:p>
        </w:tc>
        <w:tc>
          <w:p/>
        </w:tc>
      </w:tr>
      <w:tr>
        <w:tc>
          <w:p/>
          <w:p>
            <w:pPr>
              <w:spacing w:after="0" w:before="0" w:lineRule="auto" w:line="276"/>
              <w:jc w:val="left"/>
            </w:pPr>
            <w:r>
              <w:rPr>
                <w:rFonts w:ascii="Times New Roman" w:hAnsi="Times New Roman" w:cs="Times New Roman" w:eastAsia="Times New Roman"/>
                <w:b w:val="false"/>
                <w:sz w:val="26"/>
              </w:rPr>
              <w:t>06/2017/TT-BYT</w:t>
            </w:r>
          </w:p>
        </w:tc>
        <w:tc>
          <w:p/>
          <w:p>
            <w:pPr>
              <w:spacing w:after="0" w:before="0" w:lineRule="auto" w:line="276"/>
              <w:jc w:val="left"/>
            </w:pPr>
            <w:r>
              <w:rPr>
                <w:rFonts w:ascii="Times New Roman" w:hAnsi="Times New Roman" w:cs="Times New Roman" w:eastAsia="Times New Roman"/>
                <w:b w:val="false"/>
                <w:sz w:val="26"/>
              </w:rPr>
              <w:t>Thông tư 06/2017/TT-BYT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07/2017/TT-BYT</w:t>
            </w:r>
          </w:p>
        </w:tc>
        <w:tc>
          <w:p/>
          <w:p>
            <w:pPr>
              <w:spacing w:after="0" w:before="0" w:lineRule="auto" w:line="276"/>
              <w:jc w:val="left"/>
            </w:pPr>
            <w:r>
              <w:rPr>
                <w:rFonts w:ascii="Times New Roman" w:hAnsi="Times New Roman" w:cs="Times New Roman" w:eastAsia="Times New Roman"/>
                <w:b w:val="false"/>
                <w:sz w:val="26"/>
              </w:rPr>
              <w:t>Thông tư 07/2017/TT-BYT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88/NĐ-CP</w:t>
            </w:r>
          </w:p>
        </w:tc>
        <w:tc>
          <w:p/>
          <w:p>
            <w:pPr>
              <w:spacing w:after="0" w:before="0" w:lineRule="auto" w:line="276"/>
              <w:jc w:val="left"/>
            </w:pPr>
            <w:r>
              <w:rPr>
                <w:rFonts w:ascii="Times New Roman" w:hAnsi="Times New Roman" w:cs="Times New Roman" w:eastAsia="Times New Roman"/>
                <w:b w:val="false"/>
                <w:sz w:val="26"/>
              </w:rPr>
              <w:t>Nghị định số 88/2023/NĐ-CP ngày 11/12/2023 của Chính phủ</w:t>
            </w:r>
          </w:p>
        </w:tc>
        <w:tc>
          <w:p/>
          <w:p>
            <w:pPr>
              <w:spacing w:after="0" w:before="0" w:lineRule="auto" w:line="276"/>
              <w:jc w:val="left"/>
            </w:pPr>
            <w:r>
              <w:rPr>
                <w:rFonts w:ascii="Times New Roman" w:hAnsi="Times New Roman" w:cs="Times New Roman" w:eastAsia="Times New Roman"/>
                <w:b w:val="false"/>
                <w:sz w:val="26"/>
              </w:rPr>
              <w:t>11-12-2023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07/2022/TT-BYT</w:t>
            </w:r>
          </w:p>
        </w:tc>
        <w:tc>
          <w:p/>
          <w:p>
            <w:pPr>
              <w:spacing w:after="0" w:before="0" w:lineRule="auto" w:line="276"/>
              <w:jc w:val="left"/>
            </w:pPr>
            <w:r>
              <w:rPr>
                <w:rFonts w:ascii="Times New Roman" w:hAnsi="Times New Roman" w:cs="Times New Roman" w:eastAsia="Times New Roman"/>
                <w:b w:val="false"/>
                <w:sz w:val="26"/>
              </w:rPr>
              <w:t>QUY ĐỊNH THUỐC PHẢI THỬ TƯƠNG ĐƯƠNG SINH HỌC VÀ CÁC YÊU CẦU ĐỐI VỚI HỒ SƠ BÁO CÁO SỐ LIỆU NGHIÊN CỨU TƯƠNG ĐƯƠNG SINH HỌC TRONG ĐĂNG KÝ LƯU HÀNH THUỐC TẠI VIỆT NAM</w:t>
            </w:r>
          </w:p>
        </w:tc>
        <w:tc>
          <w:p/>
          <w:p>
            <w:pPr>
              <w:spacing w:after="0" w:before="0" w:lineRule="auto" w:line="276"/>
              <w:jc w:val="left"/>
            </w:pPr>
            <w:r>
              <w:rPr>
                <w:rFonts w:ascii="Times New Roman" w:hAnsi="Times New Roman" w:cs="Times New Roman" w:eastAsia="Times New Roman"/>
                <w:b w:val="false"/>
                <w:sz w:val="26"/>
              </w:rPr>
              <w:t>05-09-2022</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Thay đổi, bổ sung giấy đăng ký lưu hành thuốc, nguyên liệu làm thuốc đã được cấp tại Việt Nam có các thay đổi trong thời hạn hiệu lực, trừ trường hợp quy định tại điểm b và điểm c khoản 2 Điều 55 Luật Dược, cụ thể:
+ Thuốc đã được cấp giấy đăng ký lưu hành nhưng có thay đổi về thành phần dược chất, dược liệu; hàm lượng, nồng độ hoặc khối lượng các thành phần dược chất, dược liệu có tác dụng; dạng bào chế; đường dùng; cơ sở sản xuất, trừ trường hợp thay đổi cơ sở đóng gói thứ cấp, cơ sở xuất xưởng, địa điểm xuất xưởng;
+ Nguyên liệu làm thuốc đã được cấp giấy đăng ký lưu hành nhưng có thay đổi về cơ sở sản xuất, trừ trường hợp thay đổi cơ sở đóng gói thứ cấp, cơ sở xuất xưởng, địa điểm xuất xưởng. (Khoản 3 Điều 55 Luật Dược.)
2. Nộp đầy đủ hồ sơ theo quy định tại khoản 4 Điều 27, khoản 3 Điều 30, khoản 3 Điều 32, Điều 22 Thông tư 08/2022/TT-BYT: Hồ sơ đề nghị thay đổi, bổ sung giấy đăng ký lưu hành thuốc.
3. Các tài liệu tương ứng với các nội dung thay đổi lớn, thay đổi nhỏ quy định tại Phụ lục II ban hành kèm Thông tư này. Đối với vắc xin của cùng một cơ sở sản xuất hoặc chủ sở hữu giấy phép lưu hành thuốc chấp nhận thay đổi địa điểm cơ sở sản xuất ở cùng quốc gia hoặc ngoài quốc gia đã được cấp giấy đăng ký lưu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2026-05-11T15:55:53Z</dcterms:created>
  <dc:creator>Apache POI</dc:creator>
</cp:coreProperties>
</file>