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1.011225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1983/QĐ-BYT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giấy đăng ký lưu hành thuốc, nguyên liệu làm thuốc trong trường hợp cơ sở sản xuất hoặc cơ sở đăng ký thuốc, nguyên liệu làm thuốc đề nghị thu hồi giấy đăng ký lưu hành thuốc, nguyên liệu làm thuốc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nộp 01 bộ hồ sơ đề nghị thu hồi giấy đăng ký lưu hành thuốc, nguyên liệu làm thuốc tại Việt Nam theo quy định tại Khoản 5 Điều 40 Thông tư số 08/2022/TT-BYT ngày 05/09/2022 đến Cục Quản Dược - Bộ Y tế (cơ quan tiếp nhận).</w:t>
      </w:r>
    </w:p>
    <w:p>
      <w:pPr>
        <w:spacing w:after="0" w:before="0" w:lineRule="auto" w:line="276"/>
        <w:jc w:val="both"/>
      </w:pPr>
      <w:r>
        <w:rPr>
          <w:rFonts w:ascii="Times New Roman" w:hAnsi="Times New Roman" w:cs="Times New Roman" w:eastAsia="Times New Roman"/>
          <w:b w:val="false"/>
          <w:sz w:val="26"/>
        </w:rPr>
        <w:t>Bước 2: Khi nhận được hồ sơ đề nghị thu hồi giấy đăng ký lưu hành thuốc, nguyên liệu làm thuốc tại Việt Nam đủ thành phần, đạt yêu cầu về hình thức, Cục Quản lý  Dược - Bộ Y tế cấp cho cơ sở đăng ký Phiếu tiếp nhận hồ sơ theo Mẫu số 1/TT ban hành kèm theo Thông tư số 08/2022/TT-BYT ngày 05/09/2022.</w:t>
      </w:r>
    </w:p>
    <w:p>
      <w:pPr>
        <w:spacing w:after="0" w:before="0" w:lineRule="auto" w:line="276"/>
        <w:jc w:val="both"/>
      </w:pPr>
      <w:r>
        <w:rPr>
          <w:rFonts w:ascii="Times New Roman" w:hAnsi="Times New Roman" w:cs="Times New Roman" w:eastAsia="Times New Roman"/>
          <w:b w:val="false"/>
          <w:sz w:val="26"/>
        </w:rPr>
        <w:t>Bước 3: Cục Quản lý Dược ra quyết định thu hồi giấy đăng ký lưu hành thuốc, nguyên liệu làm thuốc. Trường hợp chưa đồng ý với đề nghị thu hồi của cơ sở, Cục Quản lý Dược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đăng ký lưu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tài liệu chứng minh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thu hồi giấy đăng ký lưu hành thuốc, nguyên liệu làm thuốc tại Việt Nam của cơ sở sản xuất hoặc cơ sở đăng ký thuốc, nguyên liệu làm thuốc theo Mẫu 1/TT ban kèm theo Thông tư số 08/2022/TT-BYT ngày 05/09/2022</w:t>
            </w:r>
          </w:p>
        </w:tc>
        <w:tc>
          <w:p/>
          <w:p>
            <w:pPr>
              <w:spacing w:after="0" w:before="0" w:lineRule="auto" w:line="276"/>
              <w:jc w:val="left"/>
            </w:pPr>
            <w:r>
              <w:rPr>
                <w:rFonts w:ascii="Times New Roman" w:hAnsi="Times New Roman" w:cs="Times New Roman" w:eastAsia="Times New Roman"/>
                <w:b w:val="false"/>
                <w:sz w:val="26"/>
              </w:rPr>
              <w:t>MẪU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Dược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lưu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w:t>
            </w:r>
          </w:p>
        </w:tc>
        <w:tc>
          <w:p/>
          <w:p>
            <w:pPr>
              <w:spacing w:after="0" w:before="0" w:lineRule="auto" w:line="276"/>
              <w:jc w:val="left"/>
            </w:pPr>
            <w:r>
              <w:rPr>
                <w:rFonts w:ascii="Times New Roman" w:hAnsi="Times New Roman" w:cs="Times New Roman" w:eastAsia="Times New Roman"/>
                <w:b w:val="false"/>
                <w:sz w:val="26"/>
              </w:rPr>
              <w:t>08-05-2017</w:t>
            </w:r>
          </w:p>
        </w:tc>
        <w:tc>
          <w:p/>
        </w:tc>
      </w:tr>
      <w:tr>
        <w:tc>
          <w:p/>
          <w:p>
            <w:pPr>
              <w:spacing w:after="0" w:before="0" w:lineRule="auto" w:line="276"/>
              <w:jc w:val="left"/>
            </w:pPr>
            <w:r>
              <w:rPr>
                <w:rFonts w:ascii="Times New Roman" w:hAnsi="Times New Roman" w:cs="Times New Roman" w:eastAsia="Times New Roman"/>
                <w:b w:val="false"/>
                <w:sz w:val="26"/>
              </w:rPr>
              <w:t>88/NĐ-CP</w:t>
            </w:r>
          </w:p>
        </w:tc>
        <w:tc>
          <w:p/>
          <w:p>
            <w:pPr>
              <w:spacing w:after="0" w:before="0" w:lineRule="auto" w:line="276"/>
              <w:jc w:val="left"/>
            </w:pPr>
            <w:r>
              <w:rPr>
                <w:rFonts w:ascii="Times New Roman" w:hAnsi="Times New Roman" w:cs="Times New Roman" w:eastAsia="Times New Roman"/>
                <w:b w:val="false"/>
                <w:sz w:val="26"/>
              </w:rPr>
              <w:t>Nghị định số 88/2023/NĐ-CP ngày 11/12/2023 của Chính phủ</w:t>
            </w:r>
          </w:p>
        </w:tc>
        <w:tc>
          <w:p/>
          <w:p>
            <w:pPr>
              <w:spacing w:after="0" w:before="0" w:lineRule="auto" w:line="276"/>
              <w:jc w:val="left"/>
            </w:pPr>
            <w:r>
              <w:rPr>
                <w:rFonts w:ascii="Times New Roman" w:hAnsi="Times New Roman" w:cs="Times New Roman" w:eastAsia="Times New Roman"/>
                <w:b w:val="false"/>
                <w:sz w:val="26"/>
              </w:rPr>
              <w:t>11-12-2023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đề nghị thu hồi thuốc, nguyên liệu làm thuốc thực hiện theo quy định tại khoản 5 Điều 40 Thông tư số 08/2022/TT-BYT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2026-05-28T18:43:24Z</dcterms:created>
  <dc:creator>Apache POI</dc:creator>
</cp:coreProperties>
</file>