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1.011250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2120/QĐ-UBND (Công bố thủ tục hành chính)</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phát triển sản xuất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tế hợp tác và Phát triển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đối với dự án, phương án có quy mô nằm trên điạ bàn 01 đơn vị cấp xã</w:t>
      </w:r>
    </w:p>
    <w:p>
      <w:pPr>
        <w:spacing w:after="0" w:before="0" w:lineRule="auto" w:line="276"/>
        <w:jc w:val="both"/>
      </w:pPr>
      <w:r>
        <w:rPr>
          <w:rFonts w:ascii="Times New Roman" w:hAnsi="Times New Roman" w:cs="Times New Roman" w:eastAsia="Times New Roman"/>
          <w:b w:val="false"/>
          <w:sz w:val="26"/>
        </w:rPr>
        <w:t>Bước 1: Đại diện cộng đồng dân cư (Người đại diện theo biên bản họp dân) gửi 01 (một) bộ hồ sơ đề xuất dự án, phương án sản xuất đến Bộ phận Tiếp nhận và Trả kết quả của Ủy ban nhân dân cấp xã nơi có dự án.
Bước 2: Trong thời gian 03 (ba) ngày làm việc, Ủy ban nhân dân cấp xã tiếp nhận, xem xét, kiểm tra hồ sơ, tổng hợp gửi hồ sơ lên Ủy ban nhân dân cấp huyện để thẩm định và phê duyệt dự án, phương án.
Bước 3: Trong thời gian 05 (năm) ngày làm việc, kể từ ngày nhận hồ sơ, cơ quan tiếp nhận hồ sơ tổng hợp gửi Tổ thẩm định hồ sơ đề nghị dự án, phương án sản xuất. 
Bước 4: Căn cứ ý kiến thẩm định của Tổ thẩm định hồ sơ đề nghị dự án, phương án sản xuất, trong vòng 05 (năm) ngày làm việc, Chủ tịch Ủy ban nhân dân cấp huyện hoặc người được Chủ tịch Ủy ban nhân dân cấp huyện ủy quyền quyết định phê duyệt dự án, phương án hỗ trợ phát triển sản xuất do cộng đồng dân cư đề xuất. Trường hợp dự án, phương án không đủ điều kiện theo quy định thì phải có văn bản trả lời và nêu rõ lý do.
Bước 5: Trả kết quả giải quyết thủ tục hành chính cho tổ chức, cá nhân.</w:t>
      </w:r>
    </w:p>
    <w:p>
      <w:pPr>
        <w:shd w:val="clear" w:color="auto" w:fill="F2F6F9"/>
        <w:spacing w:after="0" w:before="120" w:lineRule="auto" w:line="276"/>
        <w:jc w:val="both"/>
      </w:pPr>
      <w:r>
        <w:rPr>
          <w:rFonts w:ascii="Times New Roman" w:hAnsi="Times New Roman" w:cs="Times New Roman" w:eastAsia="Times New Roman"/>
          <w:b w:val="true"/>
          <w:sz w:val="26"/>
        </w:rPr>
        <w:t>* Trường hợp đối với dự án, phương án có quy mô nằm trên điạ bàn từ 02 đơn vị cấp xã trở lên</w:t>
      </w:r>
    </w:p>
    <w:p>
      <w:pPr>
        <w:spacing w:after="0" w:before="0" w:lineRule="auto" w:line="276"/>
        <w:jc w:val="both"/>
      </w:pPr>
      <w:r>
        <w:rPr>
          <w:rFonts w:ascii="Times New Roman" w:hAnsi="Times New Roman" w:cs="Times New Roman" w:eastAsia="Times New Roman"/>
          <w:b w:val="false"/>
          <w:sz w:val="26"/>
        </w:rPr>
        <w:t>Bước 1: Đại diện cộng đồng dân cư (Người đại diện theo biên bản họp dân) gửi 01 (một) bộ hồ sơ đề xuất dự án, phương án sản xuất đến Bộ phận Tiếp nhận và Trả kết quả của Ủy ban nhân dân cấp huyện.
Bước 2: Trong thời gian 05 (năm) ngày làm việc, kể từ ngày nhận hồ sơ, cơ quan tiếp nhận hồ sơ tổng hợp gửi Tổ thẩm định hồ sơ đề nghị dự án, phương án sản xuất. 
Bước 3: Căn cứ ý kiến thẩm định của Tổ thẩm định hồ sơ đề nghị dự án, phương án sản xuất, trong vòng 05 (năm) ngày làm việc, Chủ tịch Ủy ban nhân dân cấp huyện hoặc người được Chủ tịch Ủy ban nhân dân cấp huyện ủy quyền quyết định phê duyệt dự án, phương án hỗ trợ phát triển sản xuất do cộng đồng dân cư đề xuất. Trường hợp dự án, phương án không đủ điều kiện theo quy định thì phải có văn bản trả lời và nêu rõ lý do.
Bước 4: Trả kết quả giải quyết thủ tục hành chính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Đối với dự án, phương án có quy mô nằm trên điạ bàn 01 đơn vị cấp xã: 13 ngày làm việc, kể từ ngày nhận đủ hồ sơ hợp lệ. - Đối với dự án, phương án có quy mô nằm trên điạ bàn từ 02 đơn vị cấp xã trở lên: 10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Đồng</w:t>
              <w:t xml:space="preserve"> (không quy định)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Đối với dự án, phương án có quy mô nằm trên điạ bàn 01 đơn vị cấp xã: 13 ngày làm việc, kể từ ngày nhận đủ hồ sơ hợp lệ. - Đối với dự án, phương án có quy mô nằm trên điạ bàn từ 02 đơn vị cấp xã trở lên: 10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Đồng</w:t>
              <w:t xml:space="preserve"> (không quy định)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Đối với dự án, phương án có quy mô nằm trên điạ bàn 01 đơn vị cấp xã: 13 ngày làm việc, kể từ ngày nhận đủ hồ sơ hợp lệ. - Đối với dự án, phương án có quy mô nằm trên điạ bàn từ 02 đơn vị cấp xã trở lên: 10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Phí :  Đồng</w:t>
              <w:t xml:space="preserve"> (không quy định)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hỗ trợ dự án, phương án cộng đồng (Mẫu số 01, Ban hành kèm theo Nghị quyết số 19/2022/NQ-HĐND ngày 29/8/2022 của HĐND tỉnh Thái Nguyên).</w:t>
            </w:r>
          </w:p>
        </w:tc>
        <w:tc>
          <w:p/>
          <w:p>
            <w:pPr>
              <w:spacing w:after="0" w:before="0" w:lineRule="auto" w:line="276"/>
              <w:jc w:val="left"/>
            </w:pPr>
            <w:r>
              <w:rPr>
                <w:rFonts w:ascii="Times New Roman" w:hAnsi="Times New Roman" w:cs="Times New Roman" w:eastAsia="Times New Roman"/>
                <w:b w:val="false"/>
                <w:sz w:val="26"/>
              </w:rPr>
              <w:t>Mẫu số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án, phương án hỗ trợ phát triển sản xuất cộng đồng (Mẫu số 06, Ban hành kèm theo Nghị quyết số 19/2022/NQ-HĐND ngày 29/8/2022 của HĐND tỉnh Thái Nguyên).</w:t>
            </w:r>
          </w:p>
        </w:tc>
        <w:tc>
          <w:p/>
          <w:p>
            <w:pPr>
              <w:spacing w:after="0" w:before="0" w:lineRule="auto" w:line="276"/>
              <w:jc w:val="left"/>
            </w:pPr>
            <w:r>
              <w:rPr>
                <w:rFonts w:ascii="Times New Roman" w:hAnsi="Times New Roman" w:cs="Times New Roman" w:eastAsia="Times New Roman"/>
                <w:b w:val="false"/>
                <w:sz w:val="26"/>
              </w:rPr>
              <w:t>Mẫu số 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dân (Mẫu số 07, Ban hành kèm theo Nghị quyết số 19/2022/NQ-HĐND ngày 29/8/2022 của HĐND tỉnh Thái Nguyên).</w:t>
            </w:r>
          </w:p>
        </w:tc>
        <w:tc>
          <w:p/>
          <w:p>
            <w:pPr>
              <w:spacing w:after="0" w:before="0" w:lineRule="auto" w:line="276"/>
              <w:jc w:val="left"/>
            </w:pPr>
            <w:r>
              <w:rPr>
                <w:rFonts w:ascii="Times New Roman" w:hAnsi="Times New Roman" w:cs="Times New Roman" w:eastAsia="Times New Roman"/>
                <w:b w:val="false"/>
                <w:sz w:val="26"/>
              </w:rPr>
              <w:t>Mẫu số 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phô tô hợp đồng tiêu thụ sản phẩm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dự án, phương án hỗ trợ phát triển sản xuất do cộng đồng - tỉnh Thái Nguyên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27/2022/NĐ-CP</w:t>
            </w:r>
          </w:p>
        </w:tc>
        <w:tc>
          <w:p/>
          <w:p>
            <w:pPr>
              <w:spacing w:after="0" w:before="0" w:lineRule="auto" w:line="276"/>
              <w:jc w:val="left"/>
            </w:pPr>
            <w:r>
              <w:rPr>
                <w:rFonts w:ascii="Times New Roman" w:hAnsi="Times New Roman" w:cs="Times New Roman" w:eastAsia="Times New Roman"/>
                <w:b w:val="false"/>
                <w:sz w:val="26"/>
              </w:rPr>
              <w:t>Nghị định số 27/2022/NĐ-CP Quy định cơ chế quản lý, tổ chức thực hiện các chương trình mục tiêu quốc gia.</w:t>
            </w:r>
          </w:p>
        </w:tc>
        <w:tc>
          <w:p/>
          <w:p>
            <w:pPr>
              <w:spacing w:after="0" w:before="0" w:lineRule="auto" w:line="276"/>
              <w:jc w:val="left"/>
            </w:pPr>
            <w:r>
              <w:rPr>
                <w:rFonts w:ascii="Times New Roman" w:hAnsi="Times New Roman" w:cs="Times New Roman" w:eastAsia="Times New Roman"/>
                <w:b w:val="false"/>
                <w:sz w:val="26"/>
              </w:rPr>
              <w:t>19-04-2022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02/2022/TT-UBDT</w:t>
            </w:r>
          </w:p>
        </w:tc>
        <w:tc>
          <w:p/>
          <w:p>
            <w:pPr>
              <w:spacing w:after="0" w:before="0" w:lineRule="auto" w:line="276"/>
              <w:jc w:val="left"/>
            </w:pPr>
            <w:r>
              <w:rPr>
                <w:rFonts w:ascii="Times New Roman" w:hAnsi="Times New Roman" w:cs="Times New Roman" w:eastAsia="Times New Roman"/>
                <w:b w:val="false"/>
                <w:sz w:val="26"/>
              </w:rPr>
              <w:t>Hướng dẫn thực hiện một số dự án thuộc Chương trình mục tiêu quốc gia phát triển kinh tế - xã hội vùng đồng bào DTTS&amp;MN giai đoạn 2021-2030, giai đoạn I: từ năm 2021 đến năm 2025;</w:t>
            </w:r>
          </w:p>
        </w:tc>
        <w:tc>
          <w:p/>
          <w:p>
            <w:pPr>
              <w:spacing w:after="0" w:before="0" w:lineRule="auto" w:line="276"/>
              <w:jc w:val="left"/>
            </w:pPr>
            <w:r>
              <w:rPr>
                <w:rFonts w:ascii="Times New Roman" w:hAnsi="Times New Roman" w:cs="Times New Roman" w:eastAsia="Times New Roman"/>
                <w:b w:val="false"/>
                <w:sz w:val="26"/>
              </w:rPr>
              <w:t>30-06-2022</w:t>
            </w:r>
          </w:p>
        </w:tc>
        <w:tc>
          <w:p/>
          <w:p>
            <w:pPr>
              <w:spacing w:after="0" w:before="0" w:lineRule="auto" w:line="276"/>
              <w:jc w:val="left"/>
            </w:pPr>
            <w:r>
              <w:rPr>
                <w:rFonts w:ascii="Times New Roman" w:hAnsi="Times New Roman" w:cs="Times New Roman" w:eastAsia="Times New Roman"/>
                <w:b w:val="false"/>
                <w:sz w:val="26"/>
              </w:rPr>
              <w:t>Bộ Dân tộc và Tôn giáo</w:t>
            </w:r>
          </w:p>
        </w:tc>
      </w:tr>
      <w:tr>
        <w:tc>
          <w:p/>
          <w:p>
            <w:pPr>
              <w:spacing w:after="0" w:before="0" w:lineRule="auto" w:line="276"/>
              <w:jc w:val="left"/>
            </w:pPr>
            <w:r>
              <w:rPr>
                <w:rFonts w:ascii="Times New Roman" w:hAnsi="Times New Roman" w:cs="Times New Roman" w:eastAsia="Times New Roman"/>
                <w:b w:val="false"/>
                <w:sz w:val="26"/>
              </w:rPr>
              <w:t>15/2022/TT-BTC</w:t>
            </w:r>
          </w:p>
        </w:tc>
        <w:tc>
          <w:p/>
          <w:p>
            <w:pPr>
              <w:spacing w:after="0" w:before="0" w:lineRule="auto" w:line="276"/>
              <w:jc w:val="left"/>
            </w:pPr>
            <w:r>
              <w:rPr>
                <w:rFonts w:ascii="Times New Roman" w:hAnsi="Times New Roman" w:cs="Times New Roman" w:eastAsia="Times New Roman"/>
                <w:b w:val="false"/>
                <w:sz w:val="26"/>
              </w:rPr>
              <w:t>Thông tư 15/2022/TT-BTC</w:t>
            </w:r>
          </w:p>
        </w:tc>
        <w:tc>
          <w:p/>
          <w:p>
            <w:pPr>
              <w:spacing w:after="0" w:before="0" w:lineRule="auto" w:line="276"/>
              <w:jc w:val="left"/>
            </w:pPr>
            <w:r>
              <w:rPr>
                <w:rFonts w:ascii="Times New Roman" w:hAnsi="Times New Roman" w:cs="Times New Roman" w:eastAsia="Times New Roman"/>
                <w:b w:val="false"/>
                <w:sz w:val="26"/>
              </w:rPr>
              <w:t>04-03-2022</w:t>
            </w:r>
          </w:p>
        </w:tc>
        <w:tc>
          <w:p/>
        </w:tc>
      </w:tr>
      <w:tr>
        <w:tc>
          <w:p/>
          <w:p>
            <w:pPr>
              <w:spacing w:after="0" w:before="0" w:lineRule="auto" w:line="276"/>
              <w:jc w:val="left"/>
            </w:pPr>
            <w:r>
              <w:rPr>
                <w:rFonts w:ascii="Times New Roman" w:hAnsi="Times New Roman" w:cs="Times New Roman" w:eastAsia="Times New Roman"/>
                <w:b w:val="false"/>
                <w:sz w:val="26"/>
              </w:rPr>
              <w:t>04/2022/TT-BNNPTNT</w:t>
            </w:r>
          </w:p>
        </w:tc>
        <w:tc>
          <w:p/>
          <w:p>
            <w:pPr>
              <w:spacing w:after="0" w:before="0" w:lineRule="auto" w:line="276"/>
              <w:jc w:val="left"/>
            </w:pPr>
            <w:r>
              <w:rPr>
                <w:rFonts w:ascii="Times New Roman" w:hAnsi="Times New Roman" w:cs="Times New Roman" w:eastAsia="Times New Roman"/>
                <w:b w:val="false"/>
                <w:sz w:val="26"/>
              </w:rPr>
              <w:t>Thông tư 04/2022/TT-BNNPTNT</w:t>
            </w:r>
          </w:p>
        </w:tc>
        <w:tc>
          <w:p/>
          <w:p>
            <w:pPr>
              <w:spacing w:after="0" w:before="0" w:lineRule="auto" w:line="276"/>
              <w:jc w:val="left"/>
            </w:pPr>
            <w:r>
              <w:rPr>
                <w:rFonts w:ascii="Times New Roman" w:hAnsi="Times New Roman" w:cs="Times New Roman" w:eastAsia="Times New Roman"/>
                <w:b w:val="false"/>
                <w:sz w:val="26"/>
              </w:rPr>
              <w:t>11-07-2022</w:t>
            </w:r>
          </w:p>
        </w:tc>
        <w:tc>
          <w:p/>
        </w:tc>
      </w:tr>
      <w:tr>
        <w:tc>
          <w:p/>
          <w:p>
            <w:pPr>
              <w:spacing w:after="0" w:before="0" w:lineRule="auto" w:line="276"/>
              <w:jc w:val="left"/>
            </w:pPr>
            <w:r>
              <w:rPr>
                <w:rFonts w:ascii="Times New Roman" w:hAnsi="Times New Roman" w:cs="Times New Roman" w:eastAsia="Times New Roman"/>
                <w:b w:val="false"/>
                <w:sz w:val="26"/>
              </w:rPr>
              <w:t>46/2022/TT-BTC</w:t>
            </w:r>
          </w:p>
        </w:tc>
        <w:tc>
          <w:p/>
          <w:p>
            <w:pPr>
              <w:spacing w:after="0" w:before="0" w:lineRule="auto" w:line="276"/>
              <w:jc w:val="left"/>
            </w:pPr>
            <w:r>
              <w:rPr>
                <w:rFonts w:ascii="Times New Roman" w:hAnsi="Times New Roman" w:cs="Times New Roman" w:eastAsia="Times New Roman"/>
                <w:b w:val="false"/>
                <w:sz w:val="26"/>
              </w:rPr>
              <w:t>Thông tư 46/2022/TT-BTC</w:t>
            </w:r>
          </w:p>
        </w:tc>
        <w:tc>
          <w:p/>
          <w:p>
            <w:pPr>
              <w:spacing w:after="0" w:before="0" w:lineRule="auto" w:line="276"/>
              <w:jc w:val="left"/>
            </w:pPr>
            <w:r>
              <w:rPr>
                <w:rFonts w:ascii="Times New Roman" w:hAnsi="Times New Roman" w:cs="Times New Roman" w:eastAsia="Times New Roman"/>
                <w:b w:val="false"/>
                <w:sz w:val="26"/>
              </w:rPr>
              <w:t>28-07-2022</w:t>
            </w:r>
          </w:p>
        </w:tc>
        <w:tc>
          <w:p/>
        </w:tc>
      </w:tr>
      <w:tr>
        <w:tc>
          <w:p/>
          <w:p>
            <w:pPr>
              <w:spacing w:after="0" w:before="0" w:lineRule="auto" w:line="276"/>
              <w:jc w:val="left"/>
            </w:pPr>
            <w:r>
              <w:rPr>
                <w:rFonts w:ascii="Times New Roman" w:hAnsi="Times New Roman" w:cs="Times New Roman" w:eastAsia="Times New Roman"/>
                <w:b w:val="false"/>
                <w:sz w:val="26"/>
              </w:rPr>
              <w:t>09/2022/TT-BLĐTBXH</w:t>
            </w:r>
          </w:p>
        </w:tc>
        <w:tc>
          <w:p/>
          <w:p>
            <w:pPr>
              <w:spacing w:after="0" w:before="0" w:lineRule="auto" w:line="276"/>
              <w:jc w:val="left"/>
            </w:pPr>
            <w:r>
              <w:rPr>
                <w:rFonts w:ascii="Times New Roman" w:hAnsi="Times New Roman" w:cs="Times New Roman" w:eastAsia="Times New Roman"/>
                <w:b w:val="false"/>
                <w:sz w:val="26"/>
              </w:rPr>
              <w:t>Thông tư số 09/2022/TT-BLĐTBXH ngày 25/5/ 2022 của Bộ trưởng Bộ Lao động - Thương binh và Xã hội hướng dẫn một số nội dung thực hiện đa dạng hóa sinh kế, phát triển mô hình giảm nghèo và hỗ trợ người lao động đi làm việc ở nước ngoài theo hợp đồng thuộc Chương trình mục tiêu quốc gia giảm nghèo bền vững giai đoạn 2021-2025.</w:t>
            </w:r>
          </w:p>
        </w:tc>
        <w:tc>
          <w:p/>
          <w:p>
            <w:pPr>
              <w:spacing w:after="0" w:before="0" w:lineRule="auto" w:line="276"/>
              <w:jc w:val="left"/>
            </w:pPr>
            <w:r>
              <w:rPr>
                <w:rFonts w:ascii="Times New Roman" w:hAnsi="Times New Roman" w:cs="Times New Roman" w:eastAsia="Times New Roman"/>
                <w:b w:val="false"/>
                <w:sz w:val="26"/>
              </w:rPr>
              <w:t>25-05-2022</w:t>
            </w:r>
          </w:p>
        </w:tc>
        <w:tc>
          <w:p/>
        </w:tc>
      </w:tr>
      <w:tr>
        <w:tc>
          <w:p/>
          <w:p>
            <w:pPr>
              <w:spacing w:after="0" w:before="0" w:lineRule="auto" w:line="276"/>
              <w:jc w:val="left"/>
            </w:pPr>
            <w:r>
              <w:rPr>
                <w:rFonts w:ascii="Times New Roman" w:hAnsi="Times New Roman" w:cs="Times New Roman" w:eastAsia="Times New Roman"/>
                <w:b w:val="false"/>
                <w:sz w:val="26"/>
              </w:rPr>
              <w:t>05/2022/TT-BNNPTNT</w:t>
            </w:r>
          </w:p>
        </w:tc>
        <w:tc>
          <w:p/>
          <w:p>
            <w:pPr>
              <w:spacing w:after="0" w:before="0" w:lineRule="auto" w:line="276"/>
              <w:jc w:val="left"/>
            </w:pPr>
            <w:r>
              <w:rPr>
                <w:rFonts w:ascii="Times New Roman" w:hAnsi="Times New Roman" w:cs="Times New Roman" w:eastAsia="Times New Roman"/>
                <w:b w:val="false"/>
                <w:sz w:val="26"/>
              </w:rPr>
              <w:t>Thông tư số 05/2022/TT-BNNPTNT ngày 25/7/2022 của Bộ trưởng Bộ Nông nghiệp và Phát triển nông thôn hướng dẫn một số nội dung thực hiện Chương trình mục tiêu quốc gia xây dựng nông thôn mới giai đoạn 2021 - 2025 thuộc phạm vi quản lý nhà nước của Bộ Nông nghiệp và Phát triển nông thôn.</w:t>
            </w:r>
          </w:p>
        </w:tc>
        <w:tc>
          <w:p/>
          <w:p>
            <w:pPr>
              <w:spacing w:after="0" w:before="0" w:lineRule="auto" w:line="276"/>
              <w:jc w:val="left"/>
            </w:pPr>
            <w:r>
              <w:rPr>
                <w:rFonts w:ascii="Times New Roman" w:hAnsi="Times New Roman" w:cs="Times New Roman" w:eastAsia="Times New Roman"/>
                <w:b w:val="false"/>
                <w:sz w:val="26"/>
              </w:rPr>
              <w:t>25-07-2022</w:t>
            </w:r>
          </w:p>
        </w:tc>
        <w:tc>
          <w:p/>
        </w:tc>
      </w:tr>
      <w:tr>
        <w:tc>
          <w:p/>
          <w:p>
            <w:pPr>
              <w:spacing w:after="0" w:before="0" w:lineRule="auto" w:line="276"/>
              <w:jc w:val="left"/>
            </w:pPr>
            <w:r>
              <w:rPr>
                <w:rFonts w:ascii="Times New Roman" w:hAnsi="Times New Roman" w:cs="Times New Roman" w:eastAsia="Times New Roman"/>
                <w:b w:val="false"/>
                <w:sz w:val="26"/>
              </w:rPr>
              <w:t>53/2022/TT-BTC</w:t>
            </w:r>
          </w:p>
        </w:tc>
        <w:tc>
          <w:p/>
          <w:p>
            <w:pPr>
              <w:spacing w:after="0" w:before="0" w:lineRule="auto" w:line="276"/>
              <w:jc w:val="left"/>
            </w:pPr>
            <w:r>
              <w:rPr>
                <w:rFonts w:ascii="Times New Roman" w:hAnsi="Times New Roman" w:cs="Times New Roman" w:eastAsia="Times New Roman"/>
                <w:b w:val="false"/>
                <w:sz w:val="26"/>
              </w:rPr>
              <w:t>Thông tư số 53/2022/TT-BTC ngày 12/8/2022 của Bộ trưởng Bộ Tài chính quy định quản lý, sử dụng kinh phí sự nghiệp từ nguồn ngân sách Trung ương thực hiện Chương trình mục tiêu quốc gia xây dựng nông thôn mới giai đoạn 2021 – 2025.</w:t>
            </w:r>
          </w:p>
        </w:tc>
        <w:tc>
          <w:p/>
          <w:p>
            <w:pPr>
              <w:spacing w:after="0" w:before="0" w:lineRule="auto" w:line="276"/>
              <w:jc w:val="left"/>
            </w:pPr>
            <w:r>
              <w:rPr>
                <w:rFonts w:ascii="Times New Roman" w:hAnsi="Times New Roman" w:cs="Times New Roman" w:eastAsia="Times New Roman"/>
                <w:b w:val="false"/>
                <w:sz w:val="26"/>
              </w:rPr>
              <w:t>12-08-2022</w:t>
            </w:r>
          </w:p>
        </w:tc>
        <w:tc>
          <w:p/>
        </w:tc>
      </w:tr>
      <w:tr>
        <w:tc>
          <w:p/>
          <w:p>
            <w:pPr>
              <w:spacing w:after="0" w:before="0" w:lineRule="auto" w:line="276"/>
              <w:jc w:val="left"/>
            </w:pPr>
            <w:r>
              <w:rPr>
                <w:rFonts w:ascii="Times New Roman" w:hAnsi="Times New Roman" w:cs="Times New Roman" w:eastAsia="Times New Roman"/>
                <w:b w:val="false"/>
                <w:sz w:val="26"/>
              </w:rPr>
              <w:t>19/2022/NQ-HĐND</w:t>
            </w:r>
          </w:p>
        </w:tc>
        <w:tc>
          <w:p/>
          <w:p>
            <w:pPr>
              <w:spacing w:after="0" w:before="0" w:lineRule="auto" w:line="276"/>
              <w:jc w:val="left"/>
            </w:pPr>
            <w:r>
              <w:rPr>
                <w:rFonts w:ascii="Times New Roman" w:hAnsi="Times New Roman" w:cs="Times New Roman" w:eastAsia="Times New Roman"/>
                <w:b w:val="false"/>
                <w:sz w:val="26"/>
              </w:rPr>
              <w:t>Nghị quyết số 19/2022/NQ-HĐND ngày 29/8/2022 của Hội đồng nhân dân tỉnh Thái Nguyên ban hành nội dung hỗ trợ, mẫu hồ sơ, trình tự, thủ tục lựa chọn dự án, kế hoạch, phương án sản xuất, lựa chọn đơn vị đặt hàng trong thực hiện các hoạt động hỗ trợ phát triển sản xuất thuộc các Chương trình Mục tiêu quốc gia trên địa bàn tỉnh Thái Nguyên.</w:t>
            </w:r>
          </w:p>
        </w:tc>
        <w:tc>
          <w:p/>
          <w:p>
            <w:pPr>
              <w:spacing w:after="0" w:before="0" w:lineRule="auto" w:line="276"/>
              <w:jc w:val="left"/>
            </w:pPr>
            <w:r>
              <w:rPr>
                <w:rFonts w:ascii="Times New Roman" w:hAnsi="Times New Roman" w:cs="Times New Roman" w:eastAsia="Times New Roman"/>
                <w:b w:val="false"/>
                <w:sz w:val="26"/>
              </w:rPr>
              <w:t>29-08-2022</w:t>
            </w:r>
          </w:p>
        </w:tc>
        <w:tc>
          <w:p/>
        </w:tc>
      </w:tr>
      <w:tr>
        <w:tc>
          <w:p/>
          <w:p>
            <w:pPr>
              <w:spacing w:after="0" w:before="0" w:lineRule="auto" w:line="276"/>
              <w:jc w:val="left"/>
            </w:pPr>
            <w:r>
              <w:rPr>
                <w:rFonts w:ascii="Times New Roman" w:hAnsi="Times New Roman" w:cs="Times New Roman" w:eastAsia="Times New Roman"/>
                <w:b w:val="false"/>
                <w:sz w:val="26"/>
              </w:rPr>
              <w:t>19/2023/NQ-HĐND</w:t>
            </w:r>
          </w:p>
        </w:tc>
        <w:tc>
          <w:p/>
          <w:p>
            <w:pPr>
              <w:spacing w:after="0" w:before="0" w:lineRule="auto" w:line="276"/>
              <w:jc w:val="left"/>
            </w:pPr>
            <w:r>
              <w:rPr>
                <w:rFonts w:ascii="Times New Roman" w:hAnsi="Times New Roman" w:cs="Times New Roman" w:eastAsia="Times New Roman"/>
                <w:b w:val="false"/>
                <w:sz w:val="26"/>
              </w:rPr>
              <w:t>Nghị quyết của Hội đồng nhân dân tỉnh Thái Nguyên sửa đổi, bổ sung một số điều của Quy định nội dung hỗ trợ, mẫu hồ sơ, trình tự thủ tục lựa chọn dự án, kế hoạch, phương án sản xuất, lựa chọn đơn vị đặt hàng trong thực hiện các hoạt động hỗ trợ phát triển sản xuất thuộc các Chương trình mục tiêu quốc gia trên địa bàn tỉnh Thái Nguyên ban hành kèm theo Nghị quyết số 19/2022/NQ-HĐND ngày 29 tháng 8 năm 2022 của Hội đồng nhân dân tỉnh Thái Nguyên.</w:t>
            </w:r>
          </w:p>
        </w:tc>
        <w:tc>
          <w:p/>
          <w:p>
            <w:pPr>
              <w:spacing w:after="0" w:before="0" w:lineRule="auto" w:line="276"/>
              <w:jc w:val="left"/>
            </w:pPr>
            <w:r>
              <w:rPr>
                <w:rFonts w:ascii="Times New Roman" w:hAnsi="Times New Roman" w:cs="Times New Roman" w:eastAsia="Times New Roman"/>
                <w:b w:val="false"/>
                <w:sz w:val="26"/>
              </w:rPr>
              <w:t>08-12-2023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2026-05-06T13:15:40Z</dcterms:created>
  <dc:creator>Apache POI</dc:creator>
</cp:coreProperties>
</file>