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1.011325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1649/QĐ-BNNMT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điều chỉnh, cấp lại Giấy phép  nhập khẩu, xuất khẩu thuốc thú y, nguyên liệu làm thuốc thú y có chứa chất ma túy, tiền chất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Thú 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(1) Trường hợp cấp Giấy phép nhập khẩu, xuất khẩu thuốc thú y, nguyên liệu làm thuốc thú y có chứa chất ma túy, tiền chất:</w:t>
      </w:r>
    </w:p>
    <w:p>
      <w:pPr>
        <w:spacing w:after="0" w:before="0" w:lineRule="auto" w:line="276"/>
        <w:jc w:val="both"/>
      </w:pPr>
      <w:r>
        <w:rPr>
          <w:rFonts w:ascii="Times New Roman" w:hAnsi="Times New Roman" w:cs="Times New Roman" w:eastAsia="Times New Roman"/>
          <w:b w:val="false"/>
          <w:sz w:val="26"/>
        </w:rPr>
        <w:t>Bước 1: Doanh nghiệp chuẩn bị hồ sơ đề nghị cấp giấy phép nhập khẩu, xuất khẩu thuốc thú y, nguyên liệu làm thuốc thú y gửi trực tiếp hoặc gửi qua đường bưu điện đến Cơ quan được Chủ tịch Ủy ban nhân dân cấp tỉnh giao giải quyết thủ tục hành chính trong lĩnh vực chăn nuôi và thú y.
Cơ quan được Chủ tịch Ủy ban nhân dân cấp tỉnh giao giải quyết thủ tục hành chính trong lĩnh vực chăn nuôi và thú y tiếp nhận và kiểm tra thành phần, tính hợp lệ của hồ sơ theo quy định.</w:t>
      </w:r>
    </w:p>
    <w:p>
      <w:pPr>
        <w:spacing w:after="0" w:before="0" w:lineRule="auto" w:line="276"/>
        <w:jc w:val="both"/>
      </w:pPr>
      <w:r>
        <w:rPr>
          <w:rFonts w:ascii="Times New Roman" w:hAnsi="Times New Roman" w:cs="Times New Roman" w:eastAsia="Times New Roman"/>
          <w:b w:val="false"/>
          <w:sz w:val="26"/>
        </w:rPr>
        <w:t>Bước 2: 
Trong thời hạn chậm nhất là 05 ngày làm việc, kể từ ngày nhận đủ hồ sơ đề nghị cấp giấy phép nhập khẩu, xuất khẩu thuốc thú y có chứa chất ma túy, tiền chất theo quy định, Cơ quan cấp phép tiến hành thẩm định và cấp giấy phép nhập khẩu, xuất khẩu.</w:t>
      </w:r>
    </w:p>
    <w:p>
      <w:pPr>
        <w:spacing w:after="0" w:before="0" w:lineRule="auto" w:line="276"/>
        <w:jc w:val="both"/>
      </w:pPr>
      <w:r>
        <w:rPr>
          <w:rFonts w:ascii="Times New Roman" w:hAnsi="Times New Roman" w:cs="Times New Roman" w:eastAsia="Times New Roman"/>
          <w:b w:val="false"/>
          <w:sz w:val="26"/>
        </w:rPr>
        <w:t>Cơ quan tiếp nhận, giải quyết thủ tục hành chính có trách nhiệm chủ động khai thác, sử dụng thông tin đã có trong các cơ sở dữ liệu được cơ quan chủ quản cơ sở dữ liệu công bố để thay thế thành phần hồ sơ giải quyết thủ tục hành chính. Trường hợp không khai thác được thông tin hoặc thông tin khai thác được không đầy đủ, chính xác thì cơ quan có thẩm quyền tiếp nhận, giải quyết thủ tục hành chính gửi ngay văn bản để yêu cầu cá nhân, tổ chức bổ sung thành phần hồ sơ và nêu rõ lý do. Thời gian yêu cầu và bổ sung hồ sơ không tính vào thời hạn giải quyết thủ tục hành chính.</w:t>
      </w:r>
    </w:p>
    <w:p>
      <w:pPr>
        <w:shd w:val="clear" w:color="auto" w:fill="F2F6F9"/>
        <w:spacing w:after="0" w:before="120" w:lineRule="auto" w:line="276"/>
        <w:jc w:val="both"/>
      </w:pPr>
      <w:r>
        <w:rPr>
          <w:rFonts w:ascii="Times New Roman" w:hAnsi="Times New Roman" w:cs="Times New Roman" w:eastAsia="Times New Roman"/>
          <w:b w:val="true"/>
          <w:sz w:val="26"/>
        </w:rPr>
        <w:t>2) Trường hợp cấp lại Giấy phép nhập khẩu, xuất khẩu thuốc thú y, nguyên liệu làm thuốc thú y có chứa chất ma túy, tiền chất:</w:t>
      </w:r>
    </w:p>
    <w:p>
      <w:pPr>
        <w:spacing w:after="0" w:before="0" w:lineRule="auto" w:line="276"/>
        <w:jc w:val="both"/>
      </w:pPr>
      <w:r>
        <w:rPr>
          <w:rFonts w:ascii="Times New Roman" w:hAnsi="Times New Roman" w:cs="Times New Roman" w:eastAsia="Times New Roman"/>
          <w:b w:val="false"/>
          <w:sz w:val="26"/>
        </w:rPr>
        <w:t>Bước 1: Doanh nghiệp có nhu cầu điều chỉnh, cấp lại giấy phép do mất, thất lạc hoặc sai sót chuẩn bị hồ sơ đề nghị cấp lại đến Cơ quan được Chủ tịch Ủy ban nhân dân cấp tỉnh giao giải quyết thủ tục hành chính trong lĩnh vực chăn nuôi và thú y.</w:t>
      </w:r>
    </w:p>
    <w:p>
      <w:pPr>
        <w:spacing w:after="0" w:before="0" w:lineRule="auto" w:line="276"/>
        <w:jc w:val="both"/>
      </w:pPr>
      <w:r>
        <w:rPr>
          <w:rFonts w:ascii="Times New Roman" w:hAnsi="Times New Roman" w:cs="Times New Roman" w:eastAsia="Times New Roman"/>
          <w:b w:val="false"/>
          <w:sz w:val="26"/>
        </w:rPr>
        <w:t>Bước 2: Trong thời hạn chậm nhất là 05 ngày làm việc, Cơ quan được Chủ tịch Ủy ban nhân dân cấp tỉnh giao giải quyết thủ tục hành chính trong lĩnh vực chăn nuôi và thú y tiến hành xem xét, điều chỉnh hoặc cấp lại giấy phép. Trường hợp từ chối cấp phép, cơ quan cấp phép trả lời bằng văn bản, nêu rõ lý do.</w:t>
      </w:r>
    </w:p>
    <w:p>
      <w:pPr>
        <w:spacing w:after="0" w:before="0" w:lineRule="auto" w:line="276"/>
        <w:jc w:val="both"/>
      </w:pPr>
      <w:r>
        <w:rPr>
          <w:rFonts w:ascii="Times New Roman" w:hAnsi="Times New Roman" w:cs="Times New Roman" w:eastAsia="Times New Roman"/>
          <w:b w:val="false"/>
          <w:sz w:val="26"/>
        </w:rPr>
        <w:t>Cơ quan tiếp nhận, giải quyết thủ tục hành chính có trách nhiệm chủ động khai thác, sử dụng thông tin đã có trong các cơ sở dữ liệu được cơ quan chủ quản cơ sở dữ liệu công bố để thay thế thành phần hồ sơ giải quyết thủ tục hành chính. Trường hợp không khai thác được thông tin hoặc thông tin khai thác được không đầy đủ, chính xác thì cơ quan có thẩm quyền tiếp nhận, giải quyết thủ tục hành chính gửi ngay văn bản để yêu cầu cá nhân, tổ chức bổ sung thành phần hồ sơ và nêu rõ lý do. Thời gian yêu cầu và bổ sung hồ sơ không tính vào thời hạn giải quyết thủ tục hành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(Phí kiểm tra và cấp giấy chứng nhận đơn hàng nhập khẩu thuốc, nguyên liệu làm thuốc thú y, thuốc thú y thủy sản (trừ các đơn hàng nhập khẩu để làm mẫu nghiên cứu, khảo nghiệm, kiểm nghiệm, phi mậu dịch): 2.000.000 đồng/01 đơn hàng.)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(Phí kiểm tra và cấp giấy chứng nhận đơn hàng nhập khẩu thuốc, nguyên liệu làm thuốc thú y, thuốc thú y thủy sản (trừ các đơn hàng nhập khẩu để làm mẫu nghiên cứu, khảo nghiệm, kiểm nghiệm, phi mậu dịch): 2.000.000 đồng/01 đơn hàng.)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(Phí kiểm tra và cấp giấy chứng nhận đơn hàng nhập khẩu thuốc, nguyên liệu làm thuốc thú y, thuốc thú y thủy sản (trừ các đơn hàng nhập khẩu để làm mẫu nghiên cứu, khảo nghiệm, kiểm nghiệm, phi mậu dịch): 2.000.000 đồng/01 đơn hàng.)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Thành phần hồ sơ cấp Giấy phép nhập khẩu, xuất khẩu thuốc thú y, nguyên liệu làm thuốc thú y có chứa chất ma túy, tiền chất: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nhập khẩu, xuất khẩu của doanh nghiệp theo Mẫu số 01 tại Phụ lục ban hành kèm theo Nghị định số 105/2021/NĐ-CP;</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một trong các văn bản sau: Giấy phép xuất khẩu hoặc nhập khẩu của nước có hàng xuất khẩu hoặc nhập khẩu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các giấy tờ sau: Giấy chứng nhận đầu tư, Giấy chứng nhận đăng ký kinh doanh, Giấy chứng nhận đăng ký doanh nghiệp, Giấy chứng nhận đủ điều kiện sản xuất, kinh doanh đối với hoạt động được phép, Giấy chứng nhận đủ điều kiện nhập khẩu và Giấy chứng nhận lưu hành thuốc thú y tại Việt Nam, trừ trường hợp nhập khẩu vì mục đích nghiên cứu, sử dụng điều trị bệnh cho động vật hoang dã, quý hiếm;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đồng, đơn hàng liên quan kèm theo bản chính đối chiếu (khi có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giấy tờ, tài liệu liên quan khác: Phiếu phân tích chất lượng sản phẩm (CoA) của nhà sản xuất hoặc Phiếu kết quả kiểm định sản phẩm, nhãn sản phẩm đối với thuốc thú y có chứa chất ma túy, tiền chất;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tài liệu nêu trên nếu bằng tiếng nước ngoài thì phải kèm theo bản dịch tiếng Việt có công chứng theo quy định của Luật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Thành phần hồ sơ cấp lại Giấy phép nhập khẩu, xuất khẩu thuốc thú y, nguyên liệu làm thuốc thú y có chứa chất ma túy, tiền chất: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cấp lại, điều chỉnh giấy phép nhập khẩu, xuất khẩu thuốc thú y, nguyên liệu làm thuốc thú y có chứa chất ma túy, tiền chất;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nội dung cần điều chỉnh hoặc báo cáo giải trình lý do mất, thất lạc.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Chăn nuôi và Thú y - Bộ NN và MT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nhập khẩu, xuất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105/2021/NĐ-CP</w:t>
            </w:r>
          </w:p>
        </w:tc>
        <w:tc>
          <w:p/>
          <w:p>
            <w:pPr>
              <w:spacing w:after="0" w:before="0" w:lineRule="auto" w:line="276"/>
              <w:jc w:val="left"/>
            </w:pPr>
            <w:r>
              <w:rPr>
                <w:rFonts w:ascii="Times New Roman" w:hAnsi="Times New Roman" w:cs="Times New Roman" w:eastAsia="Times New Roman"/>
                <w:b w:val="false"/>
                <w:sz w:val="26"/>
              </w:rPr>
              <w:t>Nghị định 105/2021/NĐ-CP</w:t>
            </w:r>
          </w:p>
        </w:tc>
        <w:tc>
          <w:p/>
          <w:p>
            <w:pPr>
              <w:spacing w:after="0" w:before="0" w:lineRule="auto" w:line="276"/>
              <w:jc w:val="left"/>
            </w:pPr>
            <w:r>
              <w:rPr>
                <w:rFonts w:ascii="Times New Roman" w:hAnsi="Times New Roman" w:cs="Times New Roman" w:eastAsia="Times New Roman"/>
                <w:b w:val="false"/>
                <w:sz w:val="26"/>
              </w:rPr>
              <w:t>04-12-2021</w:t>
            </w:r>
          </w:p>
        </w:tc>
        <w:tc>
          <w:p/>
        </w:tc>
      </w:tr>
      <w:tr>
        <w:tc>
          <w:p/>
          <w:p>
            <w:pPr>
              <w:spacing w:after="0" w:before="0" w:lineRule="auto" w:line="276"/>
              <w:jc w:val="left"/>
            </w:pPr>
            <w:r>
              <w:rPr>
                <w:rFonts w:ascii="Times New Roman" w:hAnsi="Times New Roman" w:cs="Times New Roman" w:eastAsia="Times New Roman"/>
                <w:b w:val="false"/>
                <w:sz w:val="26"/>
              </w:rPr>
              <w:t>12/2020/TT-BNNPTNT</w:t>
            </w:r>
          </w:p>
        </w:tc>
        <w:tc>
          <w:p/>
          <w:p>
            <w:pPr>
              <w:spacing w:after="0" w:before="0" w:lineRule="auto" w:line="276"/>
              <w:jc w:val="left"/>
            </w:pPr>
            <w:r>
              <w:rPr>
                <w:rFonts w:ascii="Times New Roman" w:hAnsi="Times New Roman" w:cs="Times New Roman" w:eastAsia="Times New Roman"/>
                <w:b w:val="false"/>
                <w:sz w:val="26"/>
              </w:rPr>
              <w:t>Thông tư 12/2020/TT-BNNPTNT</w:t>
            </w:r>
          </w:p>
        </w:tc>
        <w:tc>
          <w:p/>
          <w:p>
            <w:pPr>
              <w:spacing w:after="0" w:before="0" w:lineRule="auto" w:line="276"/>
              <w:jc w:val="left"/>
            </w:pPr>
            <w:r>
              <w:rPr>
                <w:rFonts w:ascii="Times New Roman" w:hAnsi="Times New Roman" w:cs="Times New Roman" w:eastAsia="Times New Roman"/>
                <w:b w:val="false"/>
                <w:sz w:val="26"/>
              </w:rPr>
              <w:t>09-11-2020</w:t>
            </w:r>
          </w:p>
        </w:tc>
        <w:tc>
          <w:p/>
        </w:tc>
      </w:tr>
      <w:tr>
        <w:tc>
          <w:p/>
          <w:p>
            <w:pPr>
              <w:spacing w:after="0" w:before="0" w:lineRule="auto" w:line="276"/>
              <w:jc w:val="left"/>
            </w:pPr>
            <w:r>
              <w:rPr>
                <w:rFonts w:ascii="Times New Roman" w:hAnsi="Times New Roman" w:cs="Times New Roman" w:eastAsia="Times New Roman"/>
                <w:b w:val="false"/>
                <w:sz w:val="26"/>
              </w:rPr>
              <w:t>13/2022/TT-BNNPTNT</w:t>
            </w:r>
          </w:p>
        </w:tc>
        <w:tc>
          <w:p/>
          <w:p>
            <w:pPr>
              <w:spacing w:after="0" w:before="0" w:lineRule="auto" w:line="276"/>
              <w:jc w:val="left"/>
            </w:pPr>
            <w:r>
              <w:rPr>
                <w:rFonts w:ascii="Times New Roman" w:hAnsi="Times New Roman" w:cs="Times New Roman" w:eastAsia="Times New Roman"/>
                <w:b w:val="false"/>
                <w:sz w:val="26"/>
              </w:rPr>
              <w:t>Thông tư 13/2022/TT-BNNPTNT</w:t>
            </w:r>
          </w:p>
        </w:tc>
        <w:tc>
          <w:p/>
          <w:p>
            <w:pPr>
              <w:spacing w:after="0" w:before="0" w:lineRule="auto" w:line="276"/>
              <w:jc w:val="left"/>
            </w:pPr>
            <w:r>
              <w:rPr>
                <w:rFonts w:ascii="Times New Roman" w:hAnsi="Times New Roman" w:cs="Times New Roman" w:eastAsia="Times New Roman"/>
                <w:b w:val="false"/>
                <w:sz w:val="26"/>
              </w:rPr>
              <w:t>28-09-2022</w:t>
            </w:r>
          </w:p>
        </w:tc>
        <w:tc>
          <w:p/>
        </w:tc>
      </w:tr>
      <w:tr>
        <w:tc>
          <w:p/>
          <w:p>
            <w:pPr>
              <w:spacing w:after="0" w:before="0" w:lineRule="auto" w:line="276"/>
              <w:jc w:val="left"/>
            </w:pPr>
            <w:r>
              <w:rPr>
                <w:rFonts w:ascii="Times New Roman" w:hAnsi="Times New Roman" w:cs="Times New Roman" w:eastAsia="Times New Roman"/>
                <w:b w:val="false"/>
                <w:sz w:val="26"/>
              </w:rPr>
              <w:t>101/2020/TT-BTC</w:t>
            </w:r>
          </w:p>
        </w:tc>
        <w:tc>
          <w:p/>
          <w:p>
            <w:pPr>
              <w:spacing w:after="0" w:before="0" w:lineRule="auto" w:line="276"/>
              <w:jc w:val="left"/>
            </w:pPr>
            <w:r>
              <w:rPr>
                <w:rFonts w:ascii="Times New Roman" w:hAnsi="Times New Roman" w:cs="Times New Roman" w:eastAsia="Times New Roman"/>
                <w:b w:val="false"/>
                <w:sz w:val="26"/>
              </w:rPr>
              <w:t>Thông tư 101/2020/TT-BTC</w:t>
            </w:r>
          </w:p>
        </w:tc>
        <w:tc>
          <w:p/>
          <w:p>
            <w:pPr>
              <w:spacing w:after="0" w:before="0" w:lineRule="auto" w:line="276"/>
              <w:jc w:val="left"/>
            </w:pPr>
            <w:r>
              <w:rPr>
                <w:rFonts w:ascii="Times New Roman" w:hAnsi="Times New Roman" w:cs="Times New Roman" w:eastAsia="Times New Roman"/>
                <w:b w:val="false"/>
                <w:sz w:val="26"/>
              </w:rPr>
              <w:t>23-11-2020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2026-05-26T19:42:23Z</dcterms:created>
  <dc:creator>Apache POI</dc:creator>
</cp:coreProperties>
</file>