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dự án trồng cây ăn quả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Phát triển nông thôn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liên kết của cấp có thẩm quyền hoặc dự án liên kết (Mẫu số 03, Phụ lục số 03 ban hành kèm theo Nghị quyết số 15/2022/NQ-HĐND ngày 18/10/2022 của Hội đồng nhân dân tỉnh) hoặc Kế hoạch đề nghị hỗ trợ liên kết (Mẫu số 04, Phụ lục số 03 ban hành kèm theo Nghị quyết số 15/2022/NQ-HĐND ngày 18/10/2022 của Hội đồng nhân dân tỉnh) được cấp có thẩm quyền phê duyệt;</w:t>
            </w:r>
          </w:p>
        </w:tc>
        <w:tc>
          <w:p/>
          <w:p>
            <w:pPr>
              <w:spacing w:after="0" w:before="0" w:lineRule="auto" w:line="276"/>
              <w:jc w:val="left"/>
            </w:pPr>
            <w:r>
              <w:rPr>
                <w:rFonts w:ascii="Times New Roman" w:hAnsi="Times New Roman" w:cs="Times New Roman" w:eastAsia="Times New Roman"/>
                <w:b w:val="false"/>
                <w:sz w:val="26"/>
              </w:rPr>
              <w:t>Mẫu số 3 - Phụ lục số 3 NQ HĐND.docx</w:t>
            </w:r>
          </w:p>
          <w:p>
            <w:pPr>
              <w:spacing w:after="0" w:before="0" w:lineRule="auto" w:line="276"/>
              <w:jc w:val="left"/>
            </w:pPr>
            <w:r>
              <w:rPr>
                <w:rFonts w:ascii="Times New Roman" w:hAnsi="Times New Roman" w:cs="Times New Roman" w:eastAsia="Times New Roman"/>
                <w:b w:val="false"/>
                <w:sz w:val="26"/>
              </w:rPr>
              <w:t>Mẫu số 04 -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thỏa thuận của đơn vị chủ trì liên kết (Mẫu số 05,Phụ lục số 03 ban hành kèm theo Nghị quyết số 15/2022/NQ-HĐND ngày 18/10/2022 của Hội đồng nhân dân tỉnh)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Mẫu số 05 -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 hóa đơn, chứng từ liên quan đến nội dung đầu tư để xác định chi phí: giống, vật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r>
        <w:tc>
          <w:p/>
          <w:p>
            <w:pPr>
              <w:spacing w:after="0" w:before="0" w:lineRule="auto" w:line="276"/>
              <w:jc w:val="left"/>
            </w:pPr>
            <w:r>
              <w:rPr>
                <w:rFonts w:ascii="Times New Roman" w:hAnsi="Times New Roman" w:cs="Times New Roman" w:eastAsia="Times New Roman"/>
                <w:b w:val="false"/>
                <w:sz w:val="26"/>
              </w:rPr>
              <w:t>33/2021/NQ-HĐND</w:t>
            </w:r>
          </w:p>
        </w:tc>
        <w:tc>
          <w:p/>
          <w:p>
            <w:pPr>
              <w:spacing w:after="0" w:before="0" w:lineRule="auto" w:line="276"/>
              <w:jc w:val="left"/>
            </w:pPr>
            <w:r>
              <w:rPr>
                <w:rFonts w:ascii="Times New Roman" w:hAnsi="Times New Roman" w:cs="Times New Roman" w:eastAsia="Times New Roman"/>
                <w:b w:val="false"/>
                <w:sz w:val="26"/>
              </w:rPr>
              <w:t>SỬA ĐỔI, BỔ SUNG ĐIỀU 16 QUY ĐỊNH KÈM THEO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08-12-2021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đủ các điều kiện: Quy mô liên
vùng từ 50 ha trở lên, gắn với liên kết tiêu thụ sản phẩm theo chuỗi giá trị; cam
kết thực hiện dự án đảm bảo về quy mô, chất lượng vật tư đầu vào và quy trình
kỹ thuật; cây giống phải có nguồn gốc xuất xứ, đảm đảm bảo tiêu chuẩn kỹ thuật
và được mua từ các cơ sở có đủ điều kiện, có tư cách pháp nhân sản xuất kinh
doanh giống nông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2026-05-06T13:18:16Z</dcterms:created>
  <dc:creator>Apache POI</dc:creator>
</cp:coreProperties>
</file>