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tổ trưởng tổ hòa giải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Tổ chức cuộc họp bầu tổ trưởng tổ hòa giải:</w:t>
      </w:r>
    </w:p>
    <w:p>
      <w:pPr>
        <w:spacing w:after="0" w:before="0" w:lineRule="auto" w:line="276"/>
        <w:jc w:val="both"/>
      </w:pPr>
      <w:r>
        <w:rPr>
          <w:rFonts w:ascii="Times New Roman" w:hAnsi="Times New Roman" w:cs="Times New Roman" w:eastAsia="Times New Roman"/>
          <w:b w:val="false"/>
          <w:sz w:val="26"/>
        </w:rPr>
        <w:t>Cuộc họp bầu tổ trưởng tổ hòa giải do Trưởng ban công tác Mặt trận chủ trì và được thực hiện như sau:
- Hòa giải viên tham dự cuộc họp thống nhất danh sách những người được giới thiệu bầu làm tổ trưởng tổ hòa giải, lựa chọn hình thức bầu, thống nhất danh sách Tổ kiểm phiếu trong trường hợp bầu bằng hình thức bỏ phiếu kín;</w:t>
      </w:r>
    </w:p>
    <w:p>
      <w:pPr>
        <w:spacing w:after="0" w:before="0" w:lineRule="auto" w:line="276"/>
        <w:jc w:val="both"/>
      </w:pPr>
      <w:r>
        <w:rPr>
          <w:rFonts w:ascii="Times New Roman" w:hAnsi="Times New Roman" w:cs="Times New Roman" w:eastAsia="Times New Roman"/>
          <w:b w:val="false"/>
          <w:sz w:val="26"/>
        </w:rPr>
        <w:t>- Trường hợp bầu tổ trưởng tổ hòa giải bằng hình thức biểu quyết công khai thì Trưởng ban công tác Mặt trận đếm số người biểu quyết, lập biên bản về kết quả biểu quyết (Mẫu số 04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 Trường hợp bầu tổ trưởng tổ hòa giải bằng hình thức bỏ phiếu kín thì Tổ kiểm phiếu làm nhiệm vụ phát phiếu, phổ biến quy chế bỏ phiếu, thu nhận phiếu và tiến hành kiểm phiếu tại nơi bỏ phiếu ngay sau khi kết thúc việc bỏ phiếu; lập biên bản kiểm phiếu (Mẫu số 05 tại Phụ lục ban hành kèm theo Nghị quyết liên tịch số 01/2014/NQLT-CP-UBTƯMTTQVN).</w:t>
      </w:r>
    </w:p>
    <w:p>
      <w:pPr>
        <w:shd w:val="clear" w:color="auto" w:fill="F2F6F9"/>
        <w:spacing w:after="0" w:before="120" w:lineRule="auto" w:line="276"/>
        <w:jc w:val="both"/>
      </w:pPr>
      <w:r>
        <w:rPr>
          <w:rFonts w:ascii="Times New Roman" w:hAnsi="Times New Roman" w:cs="Times New Roman" w:eastAsia="Times New Roman"/>
          <w:b w:val="true"/>
          <w:sz w:val="26"/>
        </w:rPr>
        <w:t>b) Đề nghị và xem xét, công nhận tổ trưởng tổ hòa giải:</w:t>
      </w:r>
    </w:p>
    <w:p>
      <w:pPr>
        <w:spacing w:after="0" w:before="0" w:lineRule="auto" w:line="276"/>
        <w:jc w:val="both"/>
      </w:pPr>
      <w:r>
        <w:rPr>
          <w:rFonts w:ascii="Times New Roman" w:hAnsi="Times New Roman" w:cs="Times New Roman" w:eastAsia="Times New Roman"/>
          <w:b w:val="false"/>
          <w:sz w:val="26"/>
        </w:rPr>
        <w:t>Người được đề nghị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false"/>
          <w:sz w:val="26"/>
        </w:rPr>
        <w:t>Trong thời hạn 05 ngày, kể từ ngày tổ chức cuộc họp bầu tổ trưởng tổ hòa giải, Trưởng ban công tác Mặt trận làm văn bản đề nghị công nhận tổ trưởng tổ hòa giải (Mẫu số 07 tại Phụ lục ban hành kèm theo Nghị quyết liên tịch số 01/2014/NQLT-CP-UBTƯMTTQVN) kèm theo biên bản kiểm phiếu hoặc biên bản về kết quả biểu quyết về việc bầu tổ trưởng tổ hòa giải, gửi Chủ tịch Ủy ban nhân dân cấp xã. Trong thời hạn 05 ngày làm việc, kể từ ngày nhận được văn bản đề nghị công nhận tổ trưởng tổ hòa giải,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bầu tổ trưởng tổ hòa giải được tiến hành bằng hình thức bỏ phiếu kín hoặc biểu quyết công khai.
Thời hạn giải quyết: 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nhận tổ trưởng tổ hòa giải.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phiếu hoặc biên bản về kết quả biểu quyết về việc bầu tổ trưởng tổ hòa giải.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tổ trưởng tổ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bầu tổ trưởng tổ hòa giải được thực hiện trong các trường hợp sau đây:
+ Thành lập tổ hòa giải mới;
+ Tổ trưởng tổ hòa giải thôi làm hòa giải viên, thôi làm tổ trưởng tổ hòa giải hoặc không thể tiếp tục làm tổ trưởng tổ hòa giải.
- Người được đề nghị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2026-05-23T19:28:07Z</dcterms:created>
  <dc:creator>Apache POI</dc:creator>
</cp:coreProperties>
</file>