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và cấp lại chứng chỉ nhân viên bức xạ (kỹ sư trưởng lò phản ứng hạt nhân, trưởng ca vận hành lò phản ứng hạt nhân, người quản lý nhiên liệu hạt nhân, nhân viên vận hành lò phản ứng hạt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yêu cầu  cấp chứng chỉ nhân viên bức xạ (kỹ sư trưởng lò phản ứng hạt nhân, trưởng ca vận hành lò phản ứng hạt nhân, người quản lý nhiên liệu hạt nhân, nhân viên vận hành lò phản ứng hạt nhân) nộp hồ sơ cho Bộ Khoa học và Công nghệ (qua Cục An tòan bức xạ và hạt nhân)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trình Bộ Khoa học và Công nghệ cấp chứng chỉ nhân viên bức xạ (kỹ sư trưởng lò phản ứng hạt nhân, trưởng ca vận hành lò phản ứng hạt nhân, người quản lý nhiên liệu hạt nhân, nhân viên vận hành lò phản ứng hạt nhân).
+ Trong trường hợp không cấp chứng chỉ, Bộ Khoa học và Công nghệ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đào tạo an toàn bức xạ tại cơ sở được Bộ Khoa học và Công nghệ cho phép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bằng, chứng chỉ chuyên môn phù hợp với công việc đảm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cỡ 3x4</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chỉ nhân viên bức xạ</w:t>
            </w:r>
          </w:p>
        </w:tc>
        <w:tc>
          <w:p/>
          <w:p>
            <w:pPr>
              <w:spacing w:after="0" w:before="0" w:lineRule="auto" w:line="276"/>
              <w:jc w:val="left"/>
            </w:pPr>
            <w:r>
              <w:rPr>
                <w:rFonts w:ascii="Times New Roman" w:hAnsi="Times New Roman" w:cs="Times New Roman" w:eastAsia="Times New Roman"/>
                <w:b w:val="false"/>
                <w:sz w:val="26"/>
              </w:rPr>
              <w:t>n  ngh cp chng ch nhân viên bc 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khám sức khoẻ tại cơ sở y tế từ cấp huyện trở lên được cấp không quá 06 tháng tính đến thời điểm nộp hồ sơ đề nghị cấp chứng chỉ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nhân viên bức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và cấp lại chứng chỉ nhân viên bức xạ (kỹ sư trưởng lò phản ứng hạt nhân, trưởng ca vận hành lò phản ứng hạt nhân, người quản lý nhiên liệu hạt nhân, nhân viên vận hành lò phản ứng hạt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2026-05-22T16:47:10Z</dcterms:created>
  <dc:creator>Apache POI</dc:creator>
</cp:coreProperties>
</file>