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2.002519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7359A-QĐ-NHCS</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điều chỉnh kỳ hạn trả nợ đối với vay vốn đầu tư, hỗ trợ phát triển vùng trồng dược liệu quý (theo Nghị định số 28/2022/NĐ-CP ngày 26/4/2022 của Chính phủ)</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tín dụng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Khách hàng:
Lập Giấy đề nghị điều chỉnh kỳ hạn trả nợ (mẫu số 08/DLQ) gửi NHCSXH nơi thực hiện thủ tục.</w:t>
      </w:r>
    </w:p>
    <w:p>
      <w:pPr>
        <w:spacing w:after="0" w:before="0" w:lineRule="auto" w:line="276"/>
        <w:jc w:val="both"/>
      </w:pPr>
      <w:r>
        <w:rPr>
          <w:rFonts w:ascii="Times New Roman" w:hAnsi="Times New Roman" w:cs="Times New Roman" w:eastAsia="Times New Roman"/>
          <w:b w:val="false"/>
          <w:sz w:val="26"/>
        </w:rPr>
        <w:t>Bước 2. NHCSXH nơi thực hiện thủ tục:
Tiếp nhận Giấy đề nghị điều chỉnh kỳ hạn nợ, kiểm tra và thực hiện:
+ Nếu được điều chỉnh kỳ hạn trả nợ, phê duyệt trên Giấy đề nghị điều chỉnh kỳ hạn trả nợ (mẫu số 08/DLQ).
+ Nếu không được điều chỉnh kỳ hạn nợ, chuyển nợ quá hạn kỳ đó và gửi Thông báo chuyển nợ quá hạn (mẫu số 11/DLQ) cho khách hàng.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Khách hàng nộp hồ sơ điều chỉnh kỳ hạn trả nợ trực tiếp tại NHCSXH nơi thực hiện thủ tục.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điều chỉnh kỳ hạn trả nợ</w:t>
            </w:r>
          </w:p>
        </w:tc>
        <w:tc>
          <w:p/>
          <w:p>
            <w:pPr>
              <w:spacing w:after="0" w:before="0" w:lineRule="auto" w:line="276"/>
              <w:jc w:val="left"/>
            </w:pPr>
            <w:r>
              <w:rPr>
                <w:rFonts w:ascii="Times New Roman" w:hAnsi="Times New Roman" w:cs="Times New Roman" w:eastAsia="Times New Roman"/>
                <w:b w:val="false"/>
                <w:sz w:val="26"/>
              </w:rPr>
              <w:t>08-DLQ (Điều chỉnh kỳ hạn nợ).docx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Chính sách xã hội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Ngân hàng Chính sách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đề nghị điều chỉnh kỳ hạn trả nợ (mẫu số 08/DLQ), Thông báo chuyển nợ quá hạn (mẫu số 11/DLQ).</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16/2003/QĐ-TTg</w:t>
            </w:r>
          </w:p>
        </w:tc>
        <w:tc>
          <w:p/>
          <w:p>
            <w:pPr>
              <w:spacing w:after="0" w:before="0" w:lineRule="auto" w:line="276"/>
              <w:jc w:val="left"/>
            </w:pPr>
            <w:r>
              <w:rPr>
                <w:rFonts w:ascii="Times New Roman" w:hAnsi="Times New Roman" w:cs="Times New Roman" w:eastAsia="Times New Roman"/>
                <w:b w:val="false"/>
                <w:sz w:val="26"/>
              </w:rPr>
              <w:t>16/2003/QĐ-TTg</w:t>
            </w:r>
          </w:p>
        </w:tc>
        <w:tc>
          <w:p/>
          <w:p>
            <w:pPr>
              <w:spacing w:after="0" w:before="0" w:lineRule="auto" w:line="276"/>
              <w:jc w:val="left"/>
            </w:pPr>
            <w:r>
              <w:rPr>
                <w:rFonts w:ascii="Times New Roman" w:hAnsi="Times New Roman" w:cs="Times New Roman" w:eastAsia="Times New Roman"/>
                <w:b w:val="false"/>
                <w:sz w:val="26"/>
              </w:rPr>
              <w:t>22-01-2003</w:t>
            </w:r>
          </w:p>
        </w:tc>
        <w:tc>
          <w:p/>
        </w:tc>
      </w:tr>
      <w:tr>
        <w:tc>
          <w:p/>
          <w:p>
            <w:pPr>
              <w:spacing w:after="0" w:before="0" w:lineRule="auto" w:line="276"/>
              <w:jc w:val="left"/>
            </w:pPr>
            <w:r>
              <w:rPr>
                <w:rFonts w:ascii="Times New Roman" w:hAnsi="Times New Roman" w:cs="Times New Roman" w:eastAsia="Times New Roman"/>
                <w:b w:val="false"/>
                <w:sz w:val="26"/>
              </w:rPr>
              <w:t xml:space="preserve">78/2002/NĐ-CP </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04-10-2002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27/2022/NĐ-CP</w:t>
            </w:r>
          </w:p>
        </w:tc>
        <w:tc>
          <w:p/>
          <w:p>
            <w:pPr>
              <w:spacing w:after="0" w:before="0" w:lineRule="auto" w:line="276"/>
              <w:jc w:val="left"/>
            </w:pPr>
            <w:r>
              <w:rPr>
                <w:rFonts w:ascii="Times New Roman" w:hAnsi="Times New Roman" w:cs="Times New Roman" w:eastAsia="Times New Roman"/>
                <w:b w:val="false"/>
                <w:sz w:val="26"/>
              </w:rPr>
              <w:t>Nghị định số 27/2022/NĐ-CP Quy định cơ chế quản lý, tổ chức thực hiện các chương trình mục tiêu quốc gia.</w:t>
            </w:r>
          </w:p>
        </w:tc>
        <w:tc>
          <w:p/>
          <w:p>
            <w:pPr>
              <w:spacing w:after="0" w:before="0" w:lineRule="auto" w:line="276"/>
              <w:jc w:val="left"/>
            </w:pPr>
            <w:r>
              <w:rPr>
                <w:rFonts w:ascii="Times New Roman" w:hAnsi="Times New Roman" w:cs="Times New Roman" w:eastAsia="Times New Roman"/>
                <w:b w:val="false"/>
                <w:sz w:val="26"/>
              </w:rPr>
              <w:t>19-04-2022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28/2022/NĐ-CP</w:t>
            </w:r>
          </w:p>
        </w:tc>
        <w:tc>
          <w:p/>
          <w:p>
            <w:pPr>
              <w:spacing w:after="0" w:before="0" w:lineRule="auto" w:line="276"/>
              <w:jc w:val="left"/>
            </w:pPr>
            <w:r>
              <w:rPr>
                <w:rFonts w:ascii="Times New Roman" w:hAnsi="Times New Roman" w:cs="Times New Roman" w:eastAsia="Times New Roman"/>
                <w:b w:val="false"/>
                <w:sz w:val="26"/>
              </w:rPr>
              <w:t>Về chính sách tín dụng ưu đãi thực hiện Chương trình mục tiêu quốc gia phát triển kinh tế - xã hội vùng đồng bào DTTS&amp;MN giai đoạn từ năm 2021 đến năm 2030, giai đoạn 1: từ năm 2021 đến năm 2025;</w:t>
            </w:r>
          </w:p>
        </w:tc>
        <w:tc>
          <w:p/>
          <w:p>
            <w:pPr>
              <w:spacing w:after="0" w:before="0" w:lineRule="auto" w:line="276"/>
              <w:jc w:val="left"/>
            </w:pPr>
            <w:r>
              <w:rPr>
                <w:rFonts w:ascii="Times New Roman" w:hAnsi="Times New Roman" w:cs="Times New Roman" w:eastAsia="Times New Roman"/>
                <w:b w:val="false"/>
                <w:sz w:val="26"/>
              </w:rPr>
              <w:t>26-04-2022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7359/HD-NHCS</w:t>
            </w:r>
          </w:p>
        </w:tc>
        <w:tc>
          <w:p/>
          <w:p>
            <w:pPr>
              <w:spacing w:after="0" w:before="0" w:lineRule="auto" w:line="276"/>
              <w:jc w:val="left"/>
            </w:pPr>
            <w:r>
              <w:rPr>
                <w:rFonts w:ascii="Times New Roman" w:hAnsi="Times New Roman" w:cs="Times New Roman" w:eastAsia="Times New Roman"/>
                <w:b w:val="false"/>
                <w:sz w:val="26"/>
              </w:rPr>
              <w:t>Hướng dẫn nghiệp vụ cho vay đầu tư, hỗ trợ phát triển vùng trồng dược liệu quý theo Nghị định số 28/2022/NĐ-CP ngày 26/4/2022 của Chính phủ.</w:t>
            </w:r>
          </w:p>
        </w:tc>
        <w:tc>
          <w:p/>
          <w:p>
            <w:pPr>
              <w:spacing w:after="0" w:before="0" w:lineRule="auto" w:line="276"/>
              <w:jc w:val="left"/>
            </w:pPr>
            <w:r>
              <w:rPr>
                <w:rFonts w:ascii="Times New Roman" w:hAnsi="Times New Roman" w:cs="Times New Roman" w:eastAsia="Times New Roman"/>
                <w:b w:val="false"/>
                <w:sz w:val="26"/>
              </w:rPr>
              <w:t>22-09-2022</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10/2022/TT-BYT</w:t>
            </w:r>
          </w:p>
        </w:tc>
        <w:tc>
          <w:p/>
          <w:p>
            <w:pPr>
              <w:spacing w:after="0" w:before="0" w:lineRule="auto" w:line="276"/>
              <w:jc w:val="left"/>
            </w:pPr>
            <w:r>
              <w:rPr>
                <w:rFonts w:ascii="Times New Roman" w:hAnsi="Times New Roman" w:cs="Times New Roman" w:eastAsia="Times New Roman"/>
                <w:b w:val="false"/>
                <w:sz w:val="26"/>
              </w:rPr>
              <w:t>Hướng dẫn triển khai nội dung Đầu tư, hỗ trợ phát triển vùng trồng dược liệu quý thuộc Chương trình mục tiêu quốc gia phát triển kinh tế - xã hội vùng đồng bào DTTS&amp;MN giai đoạn 2021 - 2030, giai đoạn I: từ năm 2021 đến năm 2025;</w:t>
            </w:r>
          </w:p>
        </w:tc>
        <w:tc>
          <w:p/>
          <w:p>
            <w:pPr>
              <w:spacing w:after="0" w:before="0" w:lineRule="auto" w:line="276"/>
              <w:jc w:val="left"/>
            </w:pPr>
            <w:r>
              <w:rPr>
                <w:rFonts w:ascii="Times New Roman" w:hAnsi="Times New Roman" w:cs="Times New Roman" w:eastAsia="Times New Roman"/>
                <w:b w:val="false"/>
                <w:sz w:val="26"/>
              </w:rPr>
              <w:t>22-09-2022</w:t>
            </w:r>
          </w:p>
        </w:tc>
        <w:tc>
          <w:p/>
          <w:p>
            <w:pPr>
              <w:spacing w:after="0" w:before="0" w:lineRule="auto" w:line="276"/>
              <w:jc w:val="left"/>
            </w:pPr>
            <w:r>
              <w:rPr>
                <w:rFonts w:ascii="Times New Roman" w:hAnsi="Times New Roman" w:cs="Times New Roman" w:eastAsia="Times New Roman"/>
                <w:b w:val="false"/>
                <w:sz w:val="26"/>
              </w:rPr>
              <w:t>Bộ trưởng Bộ Y tế</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Khách hàng đã vay vốn theo chính sách đầu tư, hỗ trợ phát triển vùng trồng dược liệu quý tại NHCSXH nơi thực hiện thủ tục.
- Khách hàng không trả được nợ theo đúng kỳ hạn trả nợ đã thỏa thuận trong Hợp đồng tín dụng do nguyên nhân khách quan và có nhu cầu xin điều chỉnh kỳ hạn trả nợ.
- Hồ sơ điều chỉnh kỳ hạn trả nợ phải gửi đến NHCSXH nơi thực hiện thủ tục trước tối thiểu 05 ngày đến hạn theo từng kỳ trả nợ.</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2026-05-01T16:30:46Z</dcterms:created>
  <dc:creator>Apache POI</dc:creator>
</cp:coreProperties>
</file>