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chứng chỉ đại lý bảo hiểm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bảo hiểm, chi nhánh doanh nghiệp bảo hiểm phi nhân thọ nước ngoài, tổ chức tương hỗ cung cấp bảo hiểm vi mô (sau đây gọi tắt là DNBH) gửi hồ sơ yêu cầu chuyển đổi chứng chỉ đại lý bảo hiểm được cấp trước ngày 01 tháng 01 năm 2023 đến Viện Phát triển bảo hiểm Việt Nam.
+ Thời gian: Nộp hồ sơ trước ngày 15 tháng 05 năm 2026.
Bước 2: 
+ Trong thời hạn 15 ngày kể từ ngày nhận được hồ sơ yêu cầu chuyển đổi chứng chỉ đại lý bảo hiểm,trường hợp hồ sơ chưa đầy đủ và hợp lệ, Viện Phát triển bảo hiểm Việt Nam có công văn yêu cầu DNBH bổ sung, hoàn chỉnh hồ sơ. 
+ Trong thời hạn 45 ngày kể từ ngày nhận được hồ sơ đầy đủ và hợp lệ, Viện Phát triển bảo hiểm Việt Nam thực hiện chuyển đổi chứng chỉ đại lý bảo hiểm được cấp trước ngày 01/01/2023 sang chứng chỉ đại lý bảo hiểm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Viện Phát triển bảo hiểm Việt Nam.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trên Hệ thống Quản lý thi chứng chỉ hoặc qua địa chỉ email hoặc dạng tệp dữ liệu điện tử (theo thông báo của Viện Phát triển bảo hiểm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Gửi hồ sơ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chuyển đổi chứng chỉ kèm theo danh sách đại lý bảo hiểm có chứng chỉ đề nghị được chuyển đổi (theo mẫu tại Phụ lục số 10a, Phụ lục số 10b ban hành kèm theo Thông tư số 85/2024/TT-BTC).</w:t>
            </w:r>
          </w:p>
        </w:tc>
        <w:tc>
          <w:p/>
          <w:p>
            <w:pPr>
              <w:spacing w:after="0" w:before="0" w:lineRule="auto" w:line="276"/>
              <w:jc w:val="left"/>
            </w:pPr>
            <w:r>
              <w:rPr>
                <w:rFonts w:ascii="Times New Roman" w:hAnsi="Times New Roman" w:cs="Times New Roman" w:eastAsia="Times New Roman"/>
                <w:b w:val="false"/>
                <w:sz w:val="26"/>
              </w:rPr>
              <w:t>Phlcs10a.docx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Thẻ Căn cước/Thẻ căn cước công dân/Hộ chiếu còn giá trị sử dụng của đại lý bảo hiểm. Trường hợp hệ thống thông tin giải quyết thủ tục hành chính của Bộ Tài chính đã hoàn thành việc kết nối, chia sẻ xác thực thông tin công dân với Cơ sở dữ liệu quốc gia về dân cư, đơn vị thực hiện chuyển đổi khai thác các thông tin này trong Cơ sở dữ liệu quốc gia về dân cư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điện tử được ký số hợp lệ hoặc bản sao từ sổ gốc của chứng chỉ, chứng nhận được cấp trước ngày 01 tháng 01 năm 2023. Bản sao từ sổ gốc là bản sao chứng chỉ, chứng nhận từ sổ gốc có xác nhận của người đại diện theo pháp luật và đóng dấu của cơ sở đào tạo đại lý bảo hiểm cấp chứng chỉ, chứng nhận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các đại lý bảo hiểm đã được chấp thuận chuyển đổi thành chứng chỉ đại lý bảo hiểm nhân thọ cơ bản, trường hợp yêu cầu chuyển đổi chứng chỉ đại lý bảo hiểm liên kết đơn vị chỉ cần nộp bản sao có chứng thực hoặc bản điện tử được ký số hợp lệ hoặc bản sao từ sổ gốc của chứng chỉ, chứng nhận hoàn thành khóa học về sản phẩm bảo hiểm liên kết đơn vị do cơ sở đào tạo đại lý bảo hiểm nhân thọ cấp trước ngày 01 tháng 01 năm 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đại lý bảo hiểm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69/2022/TT-BTC</w:t>
            </w:r>
          </w:p>
        </w:tc>
        <w:tc>
          <w:p/>
          <w:p>
            <w:pPr>
              <w:spacing w:after="0" w:before="0" w:lineRule="auto" w:line="276"/>
              <w:jc w:val="left"/>
            </w:pPr>
            <w:r>
              <w:rPr>
                <w:rFonts w:ascii="Times New Roman" w:hAnsi="Times New Roman" w:cs="Times New Roman" w:eastAsia="Times New Roman"/>
                <w:b w:val="false"/>
                <w:sz w:val="26"/>
              </w:rPr>
              <w:t>Thông tư quy định chi tiết về chứng chỉ bảo hiểm, chứng chỉ đại lý bảo hiểm, chứng chỉ môi giới, chứng chỉ về phụ trợ bảo hiểm</w:t>
            </w:r>
          </w:p>
        </w:tc>
        <w:tc>
          <w:p/>
          <w:p>
            <w:pPr>
              <w:spacing w:after="0" w:before="0" w:lineRule="auto" w:line="276"/>
              <w:jc w:val="left"/>
            </w:pPr>
            <w:r>
              <w:rPr>
                <w:rFonts w:ascii="Times New Roman" w:hAnsi="Times New Roman" w:cs="Times New Roman" w:eastAsia="Times New Roman"/>
                <w:b w:val="false"/>
                <w:sz w:val="26"/>
              </w:rPr>
              <w:t>16-11-2022</w:t>
            </w:r>
          </w:p>
        </w:tc>
        <w:tc>
          <w:p/>
          <w:p>
            <w:pPr>
              <w:spacing w:after="0" w:before="0" w:lineRule="auto" w:line="276"/>
              <w:jc w:val="left"/>
            </w:pPr>
            <w:r>
              <w:rPr>
                <w:rFonts w:ascii="Times New Roman" w:hAnsi="Times New Roman" w:cs="Times New Roman" w:eastAsia="Times New Roman"/>
                <w:b w:val="false"/>
                <w:sz w:val="26"/>
              </w:rPr>
              <w:t>Cục Quản lý, giám sát bảo hiểm - Bộ tài chính</w:t>
            </w:r>
          </w:p>
        </w:tc>
      </w:tr>
      <w:tr>
        <w:tc>
          <w:p/>
          <w:p>
            <w:pPr>
              <w:spacing w:after="0" w:before="0" w:lineRule="auto" w:line="276"/>
              <w:jc w:val="left"/>
            </w:pPr>
            <w:r>
              <w:rPr>
                <w:rFonts w:ascii="Times New Roman" w:hAnsi="Times New Roman" w:cs="Times New Roman" w:eastAsia="Times New Roman"/>
                <w:b w:val="false"/>
                <w:sz w:val="26"/>
              </w:rPr>
              <w:t>Thông tư số 85/2024/TT-BTC</w:t>
            </w:r>
          </w:p>
        </w:tc>
        <w:tc>
          <w:p/>
          <w:p>
            <w:pPr>
              <w:spacing w:after="0" w:before="0" w:lineRule="auto" w:line="276"/>
              <w:jc w:val="left"/>
            </w:pPr>
            <w:r>
              <w:rPr>
                <w:rFonts w:ascii="Times New Roman" w:hAnsi="Times New Roman" w:cs="Times New Roman" w:eastAsia="Times New Roman"/>
                <w:b w:val="false"/>
                <w:sz w:val="26"/>
              </w:rPr>
              <w:t>Thông tư số 85/2024/TT-BTC ngày 29/11/2024 của Bộ Tài chính sửa đổi, bổ sung một số điều của Thông tư số 69/2022/TT-BTC ngày 16/11/2022 của Bộ Tài chính quy định chi tiết về chứng chỉ bảo hiểm, chứng chỉ đại lý bảo hiểm, chứng chỉ môi giới bảo hiểm, chứng chỉ về phụ trợ bảo hiểm.</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151/2025/TT-BTC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69/2022/TT-BTC ngày 16 tháng 11 năm 2022 của Bộ trưởng Bộ Tài chính quy định chi tiết về chứng chỉ bảo hiểm, chứng chỉ đại lý bảo hiểm, chứng chỉ môi giới bảo hiểm, chứng chỉ về phụ trợ bảo hiểm được sửa đổi, bổ sung bởi Thông tư số 85/2024/TT-BTС</w:t>
            </w:r>
          </w:p>
        </w:tc>
        <w:tc>
          <w:p/>
          <w:p>
            <w:pPr>
              <w:spacing w:after="0" w:before="0" w:lineRule="auto" w:line="276"/>
              <w:jc w:val="left"/>
            </w:pPr>
            <w:r>
              <w:rPr>
                <w:rFonts w:ascii="Times New Roman" w:hAnsi="Times New Roman" w:cs="Times New Roman" w:eastAsia="Times New Roman"/>
                <w:b w:val="false"/>
                <w:sz w:val="26"/>
              </w:rPr>
              <w:t>31-01-2026</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yêu cầu chuyển đổi chứng chỉ đại lý bảo hiểm phải đầy đủ và hợp lệ.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2026-05-21T16:33:05Z</dcterms:created>
  <dc:creator>Apache POI</dc:creator>
</cp:coreProperties>
</file>