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thông báo xử lý tài sản bảo đảm, đăng ký thay đổi, xóa đăng ký thông báo xử lý tài sản bảo đảm là tàu biển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Cơ quan đăng ký tàu biển Việt Nam - Bộ Xây dựng;
- Trường hợp không có căn cứ từ chối thì Cơ quan đăng ký tàu biển Việt Nam tiếp nhận hồ sơ hợp lệ, giải quyết hồ sơ và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Thời gian không tính vào thời hạn quy định tại khoản 1 Điều 16 Nghị định số 99/2022/NĐ-CP bao gồm: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w:t>
            </w:r>
          </w:p>
        </w:tc>
        <w:tc>
          <w:p/>
          <w:p>
            <w:pPr>
              <w:spacing w:after="0" w:before="0" w:lineRule="auto" w:line="276"/>
              <w:jc w:val="left"/>
            </w:pPr>
            <w:r>
              <w:rPr>
                <w:rFonts w:ascii="Times New Roman" w:hAnsi="Times New Roman" w:cs="Times New Roman" w:eastAsia="Times New Roman"/>
                <w:b w:val="false"/>
                <w:sz w:val="26"/>
              </w:rPr>
              <w:t>Phí : 30.000 Đồng</w:t>
              <w:t xml:space="preserve"> (Đăng ký thông báo xử lý tài sản bảo đảm, đăng ký thay đổi thông báo xử lý tài sản bảo đảm)</w:t>
            </w:r>
          </w:p>
          <w:p>
            <w:pPr>
              <w:spacing w:after="0" w:before="0" w:lineRule="auto" w:line="276"/>
              <w:jc w:val="left"/>
            </w:pPr>
            <w:r>
              <w:rPr>
                <w:rFonts w:ascii="Times New Roman" w:hAnsi="Times New Roman" w:cs="Times New Roman" w:eastAsia="Times New Roman"/>
                <w:b w:val="false"/>
                <w:sz w:val="26"/>
              </w:rPr>
              <w:t>Phí : 20.000 Đồng</w:t>
              <w:t xml:space="preserve"> (Xóa đăng ký thông báo xử lý tài sản bảo đảm)</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Thời gian không tính vào thời hạn quy định tại khoản 1 Điều 16 Nghị định số 99/2022/NĐ-CP bao gồm: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w:t>
            </w:r>
          </w:p>
        </w:tc>
        <w:tc>
          <w:p/>
          <w:p>
            <w:pPr>
              <w:spacing w:after="0" w:before="0" w:lineRule="auto" w:line="276"/>
              <w:jc w:val="left"/>
            </w:pPr>
            <w:r>
              <w:rPr>
                <w:rFonts w:ascii="Times New Roman" w:hAnsi="Times New Roman" w:cs="Times New Roman" w:eastAsia="Times New Roman"/>
                <w:b w:val="false"/>
                <w:sz w:val="26"/>
              </w:rPr>
              <w:t>Phí : 30.000 Đồng</w:t>
              <w:t xml:space="preserve"> (Đăng ký thông báo xử lý tài sản bảo đảm, đăng ký thay đổi thông báo xử lý tài sản bảo đảm)</w:t>
            </w:r>
          </w:p>
          <w:p>
            <w:pPr>
              <w:spacing w:after="0" w:before="0" w:lineRule="auto" w:line="276"/>
              <w:jc w:val="left"/>
            </w:pPr>
            <w:r>
              <w:rPr>
                <w:rFonts w:ascii="Times New Roman" w:hAnsi="Times New Roman" w:cs="Times New Roman" w:eastAsia="Times New Roman"/>
                <w:b w:val="false"/>
                <w:sz w:val="26"/>
              </w:rPr>
              <w:t>Phí : 20.000 Đồng</w:t>
              <w:t xml:space="preserve"> (Xóa đăng ký thông báo xử lý tài sản bảo đảm)</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làm việc nhận được hồ sơ hợp lệ; nếu thời điểm nhận hồ sơ sau 15 giờ cùng ngày thì có thể hoàn thành việc đăng ký trong ngày làm việc tiếp theo. Trường hợp cơ quan đăng ký có lý do chính đáng phải kéo dài thời gian giải quyết hồ sơ đăng ký thì thời hạn giải quyết hồ sơ không quá 03 ngày làm việc kể từ ngày nhận được hồ sơ hợp lệ. Thời gian không tính vào thời hạn quy định tại khoản 1 Điều 16 Nghị định số 99/2022/NĐ-CP bao gồm: Thời gian xảy ra sự kiện thiên tai, dịch bệnh, hỏa hoạn, sự cố hệ thống đăng ký trực tuyến, hỏng mạng lưới điện, mạng internet hoặc xảy ra sự kiện bất khả kháng khác theo văn bản hoặc theo quyết định của cơ quan có thẩm quyền dẫn đến cơ quan đăng ký không thể thực hiện được việc đăng ký theo thủ tục và thời hạn quy định tại Nghị định số 99/2022/NĐ-CP. </w:t>
            </w:r>
          </w:p>
        </w:tc>
        <w:tc>
          <w:p/>
          <w:p>
            <w:pPr>
              <w:spacing w:after="0" w:before="0" w:lineRule="auto" w:line="276"/>
              <w:jc w:val="left"/>
            </w:pPr>
            <w:r>
              <w:rPr>
                <w:rFonts w:ascii="Times New Roman" w:hAnsi="Times New Roman" w:cs="Times New Roman" w:eastAsia="Times New Roman"/>
                <w:b w:val="false"/>
                <w:sz w:val="26"/>
              </w:rPr>
              <w:t>Phí : 30.000 Đồng</w:t>
              <w:t xml:space="preserve"> (Đăng ký thông báo xử lý tài sản bảo đảm, đăng ký thay đổi thông báo xử lý tài sản bảo đảm)</w:t>
            </w:r>
          </w:p>
          <w:p>
            <w:pPr>
              <w:spacing w:after="0" w:before="0" w:lineRule="auto" w:line="276"/>
              <w:jc w:val="left"/>
            </w:pPr>
            <w:r>
              <w:rPr>
                <w:rFonts w:ascii="Times New Roman" w:hAnsi="Times New Roman" w:cs="Times New Roman" w:eastAsia="Times New Roman"/>
                <w:b w:val="false"/>
                <w:sz w:val="26"/>
              </w:rPr>
              <w:t>Phí : 20.000 Đồng</w:t>
              <w:t xml:space="preserve"> (Xóa đăng ký thông báo xử lý tài sản bảo đảm)</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Hồ sơ đăng ký thông báo xử lý tài sản bảo đảm bao gồm (khoản 4 Điều 42 Nghị định số 99/2022/NĐ-CP):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theo Mẫu số 04c tại Phụ lục</w:t>
            </w:r>
          </w:p>
        </w:tc>
        <w:tc>
          <w:p/>
          <w:p>
            <w:pPr>
              <w:spacing w:after="0" w:before="0" w:lineRule="auto" w:line="276"/>
              <w:jc w:val="left"/>
            </w:pPr>
            <w:r>
              <w:rPr>
                <w:rFonts w:ascii="Times New Roman" w:hAnsi="Times New Roman" w:cs="Times New Roman" w:eastAsia="Times New Roman"/>
                <w:b w:val="false"/>
                <w:sz w:val="26"/>
              </w:rPr>
              <w:t>Mau so 04c_Phieu yeu cau dang ky TBXLTSBD.docx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thông báo xử lý tài sản bảo đảm là tàu biển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đăng ký thay đổi, xóa đăng ký thông báo xử lý tài sản bảo đảm thì hồ sơ đăng ký là Phiếu yêu cầu theo Mẫu số 04c tại Phụ lục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Tùy từng trường hợp thì nộp thêm: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thực hiện thông qua người đại diện thì văn bản có nội dung về đại diện là tài liệu phải có trong hồ sơ đăng ký, hồ sơ cung cấp thông tin (01 bản chính hoặc 01 bản sao có chứng thực hoặc 01 bản sao kèm bản chính để đối chiếu), trừ trường hợp thực hiện việc đăng ký qua tài khoản đăng ký trực tuyến của người đại diện quy định tại khoản 2 Điều 24 Nghị định số 99/2022/NĐ-CP (khoản 7 Điều 8 Nghị định số 99/2022/NĐ-CP, khoản 4 Điều 24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chi nhánh của pháp nhân, chi nhánh hoặc phòng giao dịch của pháp nhân là tổ chức tín dụng (sau đây gọi là chi nhánh của pháp nhân) được pháp nhân giao nhiệm vụ thực hiện chức năng của pháp nhân về yêu cầu đăng ký, về yêu cầu cung cấp thông tin thì văn bản có nội dung về việc pháp nhân giao nhiệm vụ cho chi nhánh thực hiện chức năng của pháp nhân trong yêu cầu đăng ký, yêu cầu cung cấp thông tin là tài liệu phải có trong hồ sơ đăng ký, hồ sơ cung cấp thông tin (01 bản chính hoặc 01 bản sao có chứng thực hoặc 01 bản sao kèm bản chính để đối chiếu) (khoản 8 Điều 8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bên bảo đảm hoặc bên nhận bảo đảm gồm nhiều người thì phải có đầy đủ chữ ký, con dấu (nếu có) của các chủ thể này, trừ trường hợp có văn bản thể hiện nội dung về việc một, một số bên bảo đảm hoặc bên nhận bảo đảm có quyền đại diện cho những người còn lại (khoản 4 Điều 12 Nghị định số 99/2022/NĐ-CP).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đăng ký tàu biển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đăng ký thay đổi, xóa đăng ký thông báo xử lý tài sản bảo đảm là tàu biển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99/2022/NĐ-CP</w:t>
            </w:r>
          </w:p>
        </w:tc>
        <w:tc>
          <w:p/>
          <w:p>
            <w:pPr>
              <w:spacing w:after="0" w:before="0" w:lineRule="auto" w:line="276"/>
              <w:jc w:val="left"/>
            </w:pPr>
            <w:r>
              <w:rPr>
                <w:rFonts w:ascii="Times New Roman" w:hAnsi="Times New Roman" w:cs="Times New Roman" w:eastAsia="Times New Roman"/>
                <w:b w:val="false"/>
                <w:sz w:val="26"/>
              </w:rPr>
              <w:t>Nghị định 99/2022/NĐ-CP về đăng ký biện pháp bảo đảm</w:t>
            </w:r>
          </w:p>
        </w:tc>
        <w:tc>
          <w:p/>
          <w:p>
            <w:pPr>
              <w:spacing w:after="0" w:before="0" w:lineRule="auto" w:line="276"/>
              <w:jc w:val="left"/>
            </w:pPr>
            <w:r>
              <w:rPr>
                <w:rFonts w:ascii="Times New Roman" w:hAnsi="Times New Roman" w:cs="Times New Roman" w:eastAsia="Times New Roman"/>
                <w:b w:val="false"/>
                <w:sz w:val="26"/>
              </w:rPr>
              <w:t>30-11-2022</w:t>
            </w:r>
          </w:p>
        </w:tc>
        <w:tc>
          <w:p/>
        </w:tc>
      </w:tr>
      <w:tr>
        <w:tc>
          <w:p/>
          <w:p>
            <w:pPr>
              <w:spacing w:after="0" w:before="0" w:lineRule="auto" w:line="276"/>
              <w:jc w:val="left"/>
            </w:pPr>
            <w:r>
              <w:rPr>
                <w:rFonts w:ascii="Times New Roman" w:hAnsi="Times New Roman" w:cs="Times New Roman" w:eastAsia="Times New Roman"/>
                <w:b w:val="false"/>
                <w:sz w:val="26"/>
              </w:rPr>
              <w:t>61/2023/TT-BTC</w:t>
            </w:r>
          </w:p>
        </w:tc>
        <w:tc>
          <w:p/>
          <w:p>
            <w:pPr>
              <w:spacing w:after="0" w:before="0" w:lineRule="auto" w:line="276"/>
              <w:jc w:val="left"/>
            </w:pPr>
            <w:r>
              <w:rPr>
                <w:rFonts w:ascii="Times New Roman" w:hAnsi="Times New Roman" w:cs="Times New Roman" w:eastAsia="Times New Roman"/>
                <w:b w:val="false"/>
                <w:sz w:val="26"/>
              </w:rPr>
              <w:t>Thông tư số 61/2023/TT-BTC quy định mức thu, chế độ thu, nộp, quản lý và sử dụng phí trong lĩnh vực đăng ký giao dịch bảo đảm</w:t>
            </w:r>
          </w:p>
        </w:tc>
        <w:tc>
          <w:p/>
          <w:p>
            <w:pPr>
              <w:spacing w:after="0" w:before="0" w:lineRule="auto" w:line="276"/>
              <w:jc w:val="left"/>
            </w:pPr>
            <w:r>
              <w:rPr>
                <w:rFonts w:ascii="Times New Roman" w:hAnsi="Times New Roman" w:cs="Times New Roman" w:eastAsia="Times New Roman"/>
                <w:b w:val="false"/>
                <w:sz w:val="26"/>
              </w:rPr>
              <w:t>28-09-2023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33/2025/NĐ-CP</w:t>
            </w:r>
          </w:p>
        </w:tc>
        <w:tc>
          <w:p/>
          <w:p>
            <w:pPr>
              <w:spacing w:after="0" w:before="0" w:lineRule="auto" w:line="276"/>
              <w:jc w:val="left"/>
            </w:pPr>
            <w:r>
              <w:rPr>
                <w:rFonts w:ascii="Times New Roman" w:hAnsi="Times New Roman" w:cs="Times New Roman" w:eastAsia="Times New Roman"/>
                <w:b w:val="false"/>
                <w:sz w:val="26"/>
              </w:rPr>
              <w:t>Nghị định số 33/2025/NĐ-CP ngày 25/02/2025 của Chính phủ quy định chức năng, nhiệm vụ, quyền hạn và cơ cấu tổ chức của Bộ Xây dựng</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2026-05-13T16:06:20Z</dcterms:created>
  <dc:creator>Apache POI</dc:creator>
</cp:coreProperties>
</file>