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chấm dứt hiệu lực của Giấy chứng nhận đăng ký cung cấp dịch vụ kiểm định, hiệu chuẩn, thử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cung cấp dịch vụ kiểm định, hiệu chuẩn, thử nghiệm (gọi tắt là tổ chức đăng ký) chuẩn bị 01 bộ hồ sơ gửi hồ sơ qua đường bưu điện hoặc nộp trực tiếp tại trụ sở hoặc qua Cổng dịch vụ công trực tuyến của Tổng cục Tiêu chuẩn Đo lường Chất lượng, cụ thể:</w:t>
      </w:r>
    </w:p>
    <w:p>
      <w:pPr>
        <w:spacing w:after="0" w:before="0" w:lineRule="auto" w:line="276"/>
        <w:jc w:val="both"/>
      </w:pPr>
      <w:r>
        <w:rPr>
          <w:rFonts w:ascii="Times New Roman" w:hAnsi="Times New Roman" w:cs="Times New Roman" w:eastAsia="Times New Roman"/>
          <w:b w:val="false"/>
          <w:sz w:val="26"/>
        </w:rPr>
        <w:t>- Trường hợp nộp hồ sơ trực tiếp tại trụ sở Tổng cục Tiêu chuẩn Đo lường Chất lượng, các tài liệu quy định chưa được chứng thực từ bản chính, doanh nghiệp phải xuất trình bản chính để đối chiếu.</w:t>
      </w:r>
    </w:p>
    <w:p>
      <w:pPr>
        <w:spacing w:after="0" w:before="0" w:lineRule="auto" w:line="276"/>
        <w:jc w:val="both"/>
      </w:pPr>
      <w:r>
        <w:rPr>
          <w:rFonts w:ascii="Times New Roman" w:hAnsi="Times New Roman" w:cs="Times New Roman" w:eastAsia="Times New Roman"/>
          <w:b w:val="false"/>
          <w:sz w:val="26"/>
        </w:rPr>
        <w:t>- Trường hợp hồ sơ được gửi qua bưu điện, các tài liệu quy định, doanh nghiệp phải nộp bản sao đã được chứng thực từ bản chính.</w:t>
      </w:r>
    </w:p>
    <w:p>
      <w:pPr>
        <w:spacing w:after="0" w:before="0" w:lineRule="auto" w:line="276"/>
        <w:jc w:val="both"/>
      </w:pPr>
      <w:r>
        <w:rPr>
          <w:rFonts w:ascii="Times New Roman" w:hAnsi="Times New Roman" w:cs="Times New Roman" w:eastAsia="Times New Roman"/>
          <w:b w:val="false"/>
          <w:sz w:val="26"/>
        </w:rPr>
        <w:t>- Trường hợp nộp hồ sơ qua Cổng dịch vụ công trực tuyến của Tổng cục Tiêu chuẩn Đo lường Chất lượng, thực hiện theo văn bản hướng dẫn về giải quyết thủ tục hành chính trực tuyến.
Thời gian tiếp nhận hồ sơ: Sáng từ 08 giờ đến 12 giờ và chiều từ 13 giờ đến 17 giờ vào ngày làm việc trong tuần (trừ ngày thứ bảy, chủ nhật và ngày lễ).</w:t>
      </w:r>
    </w:p>
    <w:p>
      <w:pPr>
        <w:spacing w:after="0" w:before="0" w:lineRule="auto" w:line="276"/>
        <w:jc w:val="both"/>
      </w:pPr>
      <w:r>
        <w:rPr>
          <w:rFonts w:ascii="Times New Roman" w:hAnsi="Times New Roman" w:cs="Times New Roman" w:eastAsia="Times New Roman"/>
          <w:b w:val="false"/>
          <w:sz w:val="26"/>
        </w:rPr>
        <w:t>Bước 2: Xử lý hồ sơ
Tổng cục Tiêu chuẩn Đo lường Chất lượng tiếp nhận hồ sơ, xem xét, thẩm định theo quy định và ra quyết định chấm dứt hiệu lực chứng nhận đăng ký</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chấm dứt hiệu lực của giấy chứng nhận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đã được cấp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hiệu lực chứng nhận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105/2016/NĐ-CP</w:t>
            </w:r>
          </w:p>
        </w:tc>
        <w:tc>
          <w:p/>
          <w:p>
            <w:pPr>
              <w:spacing w:after="0" w:before="0" w:lineRule="auto" w:line="276"/>
              <w:jc w:val="left"/>
            </w:pPr>
            <w:r>
              <w:rPr>
                <w:rFonts w:ascii="Times New Roman" w:hAnsi="Times New Roman" w:cs="Times New Roman" w:eastAsia="Times New Roman"/>
                <w:b w:val="false"/>
                <w:sz w:val="26"/>
              </w:rPr>
              <w:t>Nghị định 105/2016/NĐ-CP-Quy định về điều kiện hoạt động của tổ chức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2026-05-01T12:16:25Z</dcterms:created>
  <dc:creator>Apache POI</dc:creator>
</cp:coreProperties>
</file>