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1.000045.000.00.00.H36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Xác nhận bảng kê lâm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hồ sơ
Chủ lâm sản hoặc tổ chức, cá nhân được chủ lâm sản ủy quyền nộp trực tiếp hoặc qua dịch vụ bưu chính hoặc qua môi trường điện tử 01 bộ hồ sơ tương ứng với từng loại lâm sản đề nghị xác nhận. Trường hợp nộp hồ sơ qua môi trường điện tử, thực hiện theo quy định pháp luật về thực hiện thủ tục hành chính trên môi trường điện tử.
b) Bước 2: Tiếp nhận hồ sơ
Trong thời hạn 01 ngày làm việc, kể từ ngày nhận được hồ sơ, cơ quan Kiểm lâm sở tại xem xét tính hợp lệ của thành phần hồ sơ; trường hợp hồ sơ không hợp lệ theo quy định, thông báo bằng văn bản và nêu rõ lý do.
c) Bước 3: Thẩm định và trả kết quả
Trong thời hạn 02 ngày làm việc kể từ ngày nhận được hồ sơ hợp lệ, cơ quan Kiểm lâm sở tại xác nhận Bảng kê lâm sản, lâm sản tồn vào sổ theo quy định tại điểm h khoản 6 Điều 5 Thông tư số 26/2025/TT-BNNMT, đối với trường hợp nộp hồ sơ bằng bản giấy.
Trường hợp cần xác minh nguồn gốc lâm sản:
+ Trong thời hạn 01 ngày làm việc kể từ ngày nhận được hồ sơ hợp lệ, cơ quan Kiểm lâm sở tại thông báo cho chủ lâm sản về việc xác minh; 
+ Trong thời hạn 02 ngày làm việc kể từ ngày thông báo, cơ quan Kiểm lâm sở tại tiến hành xác minh, lập Biên bản xác minh theo Mẫu số 05 Phụ lục II ban hành kèm theo Thông tư số 26/2025/TT-BNNMT và hoàn thành xác nhận Bảng kê lâm sản đồng thời xác nhận lâm sản tồn vào sổ quy định tại điểm h khoản 6 Điều 5 Thông tư số 26/2025/TT-BNNMT; trường hợp có nhiều nội dung phức tạp, việc xác minh và xác nhận được thực hiện không quá 03 ngày làm việc. Trường hợp không xác nhận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trong thời hạn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mà có nhiều nội dung phức tạp: trong thời hạn 04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trong thời hạn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mà có nhiều nội dung phức tạp: trong thời hạn 04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phải xác minh: 02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trong thời hạn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cần xác minh nguồn gốc lâm sản mà có nhiều nội dung phức tạp: trong thời hạn 04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hồ sơ lâm sản nhập khẩu quy định tại Điều 9 Thông tư số 26/2025/TT-BNNMT đối với trường hợp chủ lâm sản nhập khẩu bán hoặc chuyển giao quyền sở hữu.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lâm sản sau xử lý tịch thu theo quy định tại Điều 10 Thông tư số 26/2025/TT-BNNMT đối với trường hợp chủ lâm sản mua trực tiếp từ cơ quan được giao xử lý tài sản, bán, chuyển giao quyền sở hữu lần kế tiếp.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Bảng kê lâm sản mua bán, chuyển giao quyền sở hữu liền kề trước đó.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hồ sơ nguồn gốc lâm sản đối với trường hợp xác nhận theo đề nghị của tổ chức, cá nhân quy định tại điểm đ khoản 3 Điều 5 Thông tư số 26/2025/TT-BNNMT;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Sổ theo dõi nhập, xuất lâm sản đối với chủ lâm sản là tổ chức, hộ kinh doanh xuất bán lâm sản theo Mẫu số 04 Phụ lục II ban hành kèm theo Thông tư số 26/2025/TT-BNNMT đối với trường hợp lâm sản là thực vật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nuôi, trồng đối với chủ cơ sở nuôi động vật, trồng thực vật thuộc Danh mục loài nguy cấp, quý, hiếm, động vật, thực vật thuộc Phụ lục CITES, động vật rừng thông thường theo Mẫu số 10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Sổ theo dõi hoạt động sản xuất, chế biến mẫu vật loài nguy cấp, quý, hiếm, động vật, thực vật hoang dã nguy cấp thuộc Phụ lục CITES đối với cơ sở sản xuất, chế biến theo Mẫu số 29 Phụ lục II ban hành kèm theo Thông tư số 85/2025/TT-BNNMT.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Đơn đề nghị xác nhận Bảng kê lâm sản theo Mẫu số 03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Mus03.ls.docx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Bảng kê lâm sản theo quy định tại Mẫu số 01 Phụ lục II ban hành kèm theo Thông tư số 26/2025/TT-BNNMT;</w:t>
            </w:r>
          </w:p>
        </w:tc>
        <w:tc>
          <w:p/>
          <w:p>
            <w:pPr>
              <w:spacing w:after="0" w:before="0" w:lineRule="auto" w:line="276"/>
              <w:jc w:val="left"/>
            </w:pPr>
            <w:r>
              <w:rPr>
                <w:rFonts w:ascii="Times New Roman" w:hAnsi="Times New Roman" w:cs="Times New Roman" w:eastAsia="Times New Roman"/>
                <w:b w:val="false"/>
                <w:sz w:val="26"/>
              </w:rPr>
              <w:t>Mus01.ls.docx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Phương án khai thác đối với trường hợp xác nhận bảng kê lâm sản sau khai thác. Trường hợp chủ lâm sản tạo mã phản hồi nhanh (QR) chứa đựng hồ sơ lâm sản trong Bảng kê lâm sản thì không phải nộp thành phần hồ sơ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Bảng kê lâm sản được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06/2019/NĐ-CP</w:t>
            </w:r>
          </w:p>
        </w:tc>
        <w:tc>
          <w:p/>
          <w:p>
            <w:pPr>
              <w:spacing w:after="0" w:before="0" w:lineRule="auto" w:line="276"/>
              <w:jc w:val="left"/>
            </w:pPr>
            <w:r>
              <w:rPr>
                <w:rFonts w:ascii="Times New Roman" w:hAnsi="Times New Roman" w:cs="Times New Roman" w:eastAsia="Times New Roman"/>
                <w:b w:val="false"/>
                <w:sz w:val="26"/>
              </w:rPr>
              <w:t>Nghị định 06/2019/NĐ-CP</w:t>
            </w:r>
          </w:p>
        </w:tc>
        <w:tc>
          <w:p/>
          <w:p>
            <w:pPr>
              <w:spacing w:after="0" w:before="0" w:lineRule="auto" w:line="276"/>
              <w:jc w:val="left"/>
            </w:pPr>
            <w:r>
              <w:rPr>
                <w:rFonts w:ascii="Times New Roman" w:hAnsi="Times New Roman" w:cs="Times New Roman" w:eastAsia="Times New Roman"/>
                <w:b w:val="false"/>
                <w:sz w:val="26"/>
              </w:rPr>
              <w:t>22-01-2019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102/2020/NĐ-CP</w:t>
            </w:r>
          </w:p>
        </w:tc>
        <w:tc>
          <w:p/>
          <w:p>
            <w:pPr>
              <w:spacing w:after="0" w:before="0" w:lineRule="auto" w:line="276"/>
              <w:jc w:val="left"/>
            </w:pPr>
            <w:r>
              <w:rPr>
                <w:rFonts w:ascii="Times New Roman" w:hAnsi="Times New Roman" w:cs="Times New Roman" w:eastAsia="Times New Roman"/>
                <w:b w:val="false"/>
                <w:sz w:val="26"/>
              </w:rPr>
              <w:t>Nghị định 102/2020/NĐ-CP</w:t>
            </w:r>
          </w:p>
        </w:tc>
        <w:tc>
          <w:p/>
          <w:p>
            <w:pPr>
              <w:spacing w:after="0" w:before="0" w:lineRule="auto" w:line="276"/>
              <w:jc w:val="left"/>
            </w:pPr>
            <w:r>
              <w:rPr>
                <w:rFonts w:ascii="Times New Roman" w:hAnsi="Times New Roman" w:cs="Times New Roman" w:eastAsia="Times New Roman"/>
                <w:b w:val="false"/>
                <w:sz w:val="26"/>
              </w:rPr>
              <w:t>01-09-2020</w:t>
            </w:r>
          </w:p>
        </w:tc>
        <w:tc>
          <w:p/>
        </w:tc>
      </w:tr>
      <w:tr>
        <w:tc>
          <w:p/>
          <w:p>
            <w:pPr>
              <w:spacing w:after="0" w:before="0" w:lineRule="auto" w:line="276"/>
              <w:jc w:val="left"/>
            </w:pPr>
            <w:r>
              <w:rPr>
                <w:rFonts w:ascii="Times New Roman" w:hAnsi="Times New Roman" w:cs="Times New Roman" w:eastAsia="Times New Roman"/>
                <w:b w:val="false"/>
                <w:sz w:val="26"/>
              </w:rPr>
              <w:t>84/2021/NĐ-CP</w:t>
            </w:r>
          </w:p>
        </w:tc>
        <w:tc>
          <w:p/>
          <w:p>
            <w:pPr>
              <w:spacing w:after="0" w:before="0" w:lineRule="auto" w:line="276"/>
              <w:jc w:val="left"/>
            </w:pPr>
            <w:r>
              <w:rPr>
                <w:rFonts w:ascii="Times New Roman" w:hAnsi="Times New Roman" w:cs="Times New Roman" w:eastAsia="Times New Roman"/>
                <w:b w:val="false"/>
                <w:sz w:val="26"/>
              </w:rPr>
              <w:t>84/2021/NĐ-CP sửa đổi, bổ sung một số điều của Nghị định số 06/2019/NĐ-CP ngày 22 tháng 01 năm 2019 của Chính phủ về quản lý thực vật rừng, động vật rừng nguy cấp, quý, hiếm và thực thi Công ước về buôn bán quốc tế các loài động vật, thực vật hoang dã nguy cấp</w:t>
            </w:r>
          </w:p>
        </w:tc>
        <w:tc>
          <w:p/>
          <w:p>
            <w:pPr>
              <w:spacing w:after="0" w:before="0" w:lineRule="auto" w:line="276"/>
              <w:jc w:val="left"/>
            </w:pPr>
            <w:r>
              <w:rPr>
                <w:rFonts w:ascii="Times New Roman" w:hAnsi="Times New Roman" w:cs="Times New Roman" w:eastAsia="Times New Roman"/>
                <w:b w:val="false"/>
                <w:sz w:val="26"/>
              </w:rPr>
              <w:t>22-09-2021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26/2022/TT-BNNPTNT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30-12-2022</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22/2023/TT-BNNPTNT</w:t>
            </w:r>
          </w:p>
        </w:tc>
        <w:tc>
          <w:p/>
          <w:p>
            <w:pPr>
              <w:spacing w:after="0" w:before="0" w:lineRule="auto" w:line="276"/>
              <w:jc w:val="left"/>
            </w:pPr>
            <w:r>
              <w:rPr>
                <w:rFonts w:ascii="Times New Roman" w:hAnsi="Times New Roman" w:cs="Times New Roman" w:eastAsia="Times New Roman"/>
                <w:b w:val="false"/>
                <w:sz w:val="26"/>
              </w:rPr>
              <w:t>Thông tư số 22/2023/TT-BNNPTNT ngày 15/11/2023 của Bộ trưởng Bộ Nông nghiệp và Phát triển nông thôn sửa đổi, bổ sung một số điều của các Thông tư trong lĩnh vực lâm nghiệp</w:t>
            </w:r>
          </w:p>
        </w:tc>
        <w:tc>
          <w:p/>
          <w:p>
            <w:pPr>
              <w:spacing w:after="0" w:before="0" w:lineRule="auto" w:line="276"/>
              <w:jc w:val="left"/>
            </w:pPr>
            <w:r>
              <w:rPr>
                <w:rFonts w:ascii="Times New Roman" w:hAnsi="Times New Roman" w:cs="Times New Roman" w:eastAsia="Times New Roman"/>
                <w:b w:val="false"/>
                <w:sz w:val="26"/>
              </w:rPr>
              <w:t>15-11-2023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26/2025/TT-BNNMT</w:t>
            </w:r>
          </w:p>
        </w:tc>
        <w:tc>
          <w:p/>
          <w:p>
            <w:pPr>
              <w:spacing w:after="0" w:before="0" w:lineRule="auto" w:line="276"/>
              <w:jc w:val="left"/>
            </w:pPr>
            <w:r>
              <w:rPr>
                <w:rFonts w:ascii="Times New Roman" w:hAnsi="Times New Roman" w:cs="Times New Roman" w:eastAsia="Times New Roman"/>
                <w:b w:val="false"/>
                <w:sz w:val="26"/>
              </w:rPr>
              <w:t>Thông tư số 26/2025/TT-BNNMT</w:t>
            </w:r>
          </w:p>
        </w:tc>
        <w:tc>
          <w:p/>
          <w:p>
            <w:pPr>
              <w:spacing w:after="0" w:before="0" w:lineRule="auto" w:line="276"/>
              <w:jc w:val="left"/>
            </w:pPr>
            <w:r>
              <w:rPr>
                <w:rFonts w:ascii="Times New Roman" w:hAnsi="Times New Roman" w:cs="Times New Roman" w:eastAsia="Times New Roman"/>
                <w:b w:val="false"/>
                <w:sz w:val="26"/>
              </w:rPr>
              <w:t>24-06-2025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Đủ điều kiện toàn trình theo Quyết định 2128/QĐ-BNNMT ngày 16/6/2025</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2026-05-19T22:17:55Z</dcterms:created>
  <dc:creator>Apache POI</dc:creator>
</cp:coreProperties>
</file>