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phát thuốc Methadone cho người bệnh đặc biệt điều trị tại nhà</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bệnh làm Đơn đề nghị được cấp thuốc Methadone tại nhà theo mẫu số 2 Phụ lục 7 ban hành kèm theo Thông tư số 14/2015/TT-BYT ngày 25 tháng 6 năm 2015 gửi cơ sở điều trị Methadone.</w:t>
      </w:r>
    </w:p>
    <w:p>
      <w:pPr>
        <w:spacing w:after="0" w:before="0" w:lineRule="auto" w:line="276"/>
        <w:jc w:val="both"/>
      </w:pPr>
      <w:r>
        <w:rPr>
          <w:rFonts w:ascii="Times New Roman" w:hAnsi="Times New Roman" w:cs="Times New Roman" w:eastAsia="Times New Roman"/>
          <w:b w:val="false"/>
          <w:sz w:val="26"/>
        </w:rPr>
        <w:t>Bước 2: Trường hợp cơ sở điều trị Methadone có đủ người thực hiện việc chuyển thuốc Methadone cho người bệnh thì tiến hành xác minh tình trạng sức khỏe của người bệnh để quyết định việc cấp phát thuốc Methadone cho người bệnh tại nhà.
             Trường hợp người bệnh không có chống chỉ định, bác sỹ điều trị kê đơn thuốc Methadone cho người bệnh theo quy định tại Điểm đ Khoản 2 Điều 13 Thông tư số 14/2015/TT-BYT ngày 25 tháng 6 năm 2015.</w:t>
      </w:r>
    </w:p>
    <w:p>
      <w:pPr>
        <w:spacing w:after="0" w:before="0" w:lineRule="auto" w:line="276"/>
        <w:jc w:val="both"/>
      </w:pPr>
      <w:r>
        <w:rPr>
          <w:rFonts w:ascii="Times New Roman" w:hAnsi="Times New Roman" w:cs="Times New Roman" w:eastAsia="Times New Roman"/>
          <w:b w:val="false"/>
          <w:sz w:val="26"/>
        </w:rPr>
        <w:t>Bước 3: Căn cứ đơn thuốc của bác sỹ điều trị, nhân viên cấp phát thuốc của cơ sở điều trị Methadone có trách nhiệm:
- Giao đủ số lượng thuốc Methadone sử dụng trong một (01) ngày và Phiếu theo dõi điều trị Methadone của người bệnh cho nhân viên y tế được người đứng đầu cơ sở điều trị Methadone giao nhiệm vụ chuyển thuốc (sau đây gọi tắt là người giao thuốc Methadone) để chuyển thuốc Methadone tới cơ sở khám bệnh, chữa bệnh cho người bệnh;
- Ghi chép việc sử dụng thuốc của người bệnh vào Sổ theo dõi phát thuốc Methadone hằng ngày.</w:t>
      </w:r>
    </w:p>
    <w:p>
      <w:pPr>
        <w:spacing w:after="0" w:before="0" w:lineRule="auto" w:line="276"/>
        <w:jc w:val="both"/>
      </w:pPr>
      <w:r>
        <w:rPr>
          <w:rFonts w:ascii="Times New Roman" w:hAnsi="Times New Roman" w:cs="Times New Roman" w:eastAsia="Times New Roman"/>
          <w:b w:val="false"/>
          <w:sz w:val="26"/>
        </w:rPr>
        <w:t>Bước 4: Người giao thuốc Methadone có trách nhiệm mang các giấy tờ sau khi chuyển thuốc Methadone cho người bệnh:
- Giấy giới thiệu của cơ sở điều trị Methadone hoặc cơ sở cấp phát thuốc Methadone:
- Đơn thuốc Methadone;
- Phiếu theo dõi điều trị Methadone của người bệnh.
Người giao thuốc trực tiếp chuyển thuốc Methadone và theo dõi việc uống thuốc Methadone của người bệnh, ký vào Phiếu theo dõi điều trị Methadone cùng người bệnh.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Ngay sau khi tiếp nhận đơn đề nghị uống thuốc Methadone tại nhà của người bệnh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Ngay sau khi tiếp nhận đơn đề nghị uống thuốc Methadone tại nhà của người bệnh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Ngay sau khi tiếp nhận đơn đề nghị uống thuốc Methadone tại nhà của người bệnh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Ngay sau khi tiếp nhận đơn đề nghị uống thuốc Methadone tại nhà của người bệnh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uống thuốc Methadone tại nhà theo mẫu số 2 Phụ lục 7 ban hành kèm theo Thông tư số 14/2015/TT-BYT.</w:t>
            </w:r>
          </w:p>
        </w:tc>
        <w:tc>
          <w:p/>
          <w:p>
            <w:pPr>
              <w:spacing w:after="0" w:before="0" w:lineRule="auto" w:line="276"/>
              <w:jc w:val="left"/>
            </w:pPr>
            <w:r>
              <w:rPr>
                <w:rFonts w:ascii="Times New Roman" w:hAnsi="Times New Roman" w:cs="Times New Roman" w:eastAsia="Times New Roman"/>
                <w:b w:val="false"/>
                <w:sz w:val="26"/>
              </w:rPr>
              <w:t>TT 14_2015_TTBYT_Mau 02 Phu luc 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điều trị Methadone</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điều trị Methadone</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bệnh được cấp phát thuốc Methadone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34/2005/QH11</w:t>
            </w:r>
          </w:p>
        </w:tc>
        <w:tc>
          <w:p/>
          <w:p>
            <w:pPr>
              <w:spacing w:after="0" w:before="0" w:lineRule="auto" w:line="276"/>
              <w:jc w:val="left"/>
            </w:pPr>
            <w:r>
              <w:rPr>
                <w:rFonts w:ascii="Times New Roman" w:hAnsi="Times New Roman" w:cs="Times New Roman" w:eastAsia="Times New Roman"/>
                <w:b w:val="false"/>
                <w:sz w:val="26"/>
              </w:rPr>
              <w:t>Luật 34/2005/QH11-Dược</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90/2016/NĐ-CP</w:t>
            </w:r>
          </w:p>
        </w:tc>
        <w:tc>
          <w:p/>
          <w:p>
            <w:pPr>
              <w:spacing w:after="0" w:before="0" w:lineRule="auto" w:line="276"/>
              <w:jc w:val="left"/>
            </w:pPr>
            <w:r>
              <w:rPr>
                <w:rFonts w:ascii="Times New Roman" w:hAnsi="Times New Roman" w:cs="Times New Roman" w:eastAsia="Times New Roman"/>
                <w:b w:val="false"/>
                <w:sz w:val="26"/>
              </w:rPr>
              <w:t>Nghị định 90/2016/NĐ-CP - Nghị định 90/2016/NĐ-CP</w:t>
            </w:r>
          </w:p>
        </w:tc>
        <w:tc>
          <w:p/>
          <w:p>
            <w:pPr>
              <w:spacing w:after="0" w:before="0" w:lineRule="auto" w:line="276"/>
              <w:jc w:val="left"/>
            </w:pPr>
            <w:r>
              <w:rPr>
                <w:rFonts w:ascii="Times New Roman" w:hAnsi="Times New Roman" w:cs="Times New Roman" w:eastAsia="Times New Roman"/>
                <w:b w:val="false"/>
                <w:sz w:val="26"/>
              </w:rPr>
              <w:t>01-07-2016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2026-05-22T20:34:41Z</dcterms:created>
  <dc:creator>Apache POI</dc:creator>
</cp:coreProperties>
</file>