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2025SCT/QĐ-UBND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giải quyết thủ tục hành chính tại Trung tâm hành chính công tỉnh Hà Tĩnh (Số 02A - Đường Nguyễn Chí Thanh - Thành phố Hà Tĩnh - Tỉnh Hà Tĩnh).
Cán bộ chuyên môn kiểm tra hồ sơ:
+ Nếu hồ sơ chưa đầy đủ hoặc không hợp lệ: Cán bộ chuyên môn hướng dẫn bổ sung, hoàn thiện hồ sơ; trường hợp nộp hồ sơ qua đường bưu điện thì Trung tâm thông báo bằng văn bản cho tổ chức, cá nhân để hoàn thiện hồ sơ.
+ Nếu hồ sơ đầy đủ, hợp lệ: Làm thủ tục tiếp nhận hồ sơ, hẹn trả kết quả cho tổ chức, cá nhân.
- Bước 2: Cán bộ chuyên môn tiếp nhận hồ sơ có trách nhiệm chuyển hồ sơ cho Sở Công Thương để giải quyết theo quy định.
- Bước 3: Đến hẹn, Trung tâm hành chính công tỉnh trả kết quả cho tổ chức, cá nhân và thu phí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(Phí thẩm định)</w:t>
            </w:r>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Hà Tĩnh.
- 06 ngày làm việc kể từ ngày nhận đủ hồ sơ hợp lệ đối với trường hợp tổ chức, cá nhân có cơ sở sản xuất, kinh doanh hóa chất tại địa phương khác (không tính thời gian lấy ý kiến Sở Công Thương địa phương  tổ chức, cá nhân đặt cơ sở sản xuất, kinh doanh hóa chất).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t>Phí : 1.200.000 Đồng</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Hà Tĩnh.
- 06 ngày làm việc kể từ ngày nhận đủ hồ sơ hợp lệ đối với trường hợp tổ chức, cá nhân có cơ sở sản xuất, kinh doanh hóa chất tại địa phương khác (không tính thời gian lấy ý kiến Sở Công Thương địa phương tổ chức, cá nhân đặt cơ sở sản xuất, kinh doanh hóa chất).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t>Phí : 1.200.000 Đồng</w:t>
            </w:r>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Hà Tĩnh.
- 06 ngày làm việc kể từ ngày nhận đủ hồ sơ hợp lệ đối với trường hợp tổ chức, cá nhân có cơ sở sản xuất, kinh doanh hóa chất tại địa phương khác (không tính thời gian lấy ý kiến Sở Công Thương địa phương tổ chức, cá nhân đặt cơ sở sản xuất, kinh doanh hóa chất).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chứng nhận đủ điều kiện sản xuất và kinh doanh hóa chất sản xuất, kinh doanh có điều kiện trong lĩnh vực công nghiệp theo mẫu BM.HC.07.01;</w:t>
            </w:r>
          </w:p>
        </w:tc>
        <w:tc>
          <w:p/>
          <w:p>
            <w:pPr>
              <w:spacing w:after="0" w:before="0" w:lineRule="auto" w:line="276"/>
              <w:jc w:val="left"/>
            </w:pPr>
            <w:r>
              <w:rPr>
                <w:rFonts w:ascii="Times New Roman" w:hAnsi="Times New Roman" w:cs="Times New Roman" w:eastAsia="Times New Roman"/>
                <w:b w:val="false"/>
                <w:sz w:val="26"/>
              </w:rPr>
              <w:t>BM.HC.07.01.doc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từng cơ sở sản xuất, địa điểm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phê duyệt hoặc văn bản xác nhận các tài liệu liên quan đến bảo vệ môi trường theo quy định của pháp luật được cơ quan quản lý nhà nước có thẩm quyền ban hành đối với từng cơ sở sản xuất, kho chứa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kết quả nghiệm thu về phòng cháy và chữa cháy của cơ quan Cảnh sát phòng cháy và chữa cháy đối với từng cơ sở sản xuất, kho chứa hóa chất thuộc đối tượng phải thẩm duyệt thiết kế về phòng cháy và chữa cháy; Biên bản kiểm tra an toàn về phòng cháy và chữa cháy hoặc văn bản của cơ quan có thẩm quyền chứng minh đảm bảo các điều kiện an toàn về phòng cháy và chữa cháy đối với từng cơ sở sản xuất, kho chứa hóa chất không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tổng thể hệ thống mặt bằng từng cơ sở sản xuất, địa điểm kinh doanh hóa chất, nội dung bản vẽ phải đảm bảo các thông tin về vị trí nhà xưởng, kho chứa, khu vực chứa hóa chất, diện tích và đường vào nhà xưởng, khu vực sản xuất, kho chứa hóa chất; Bản sao giấy tờ chứng minh quyền sử dụng đối với thửa đất xây dựng cơ sở sản xuất, kho chứa hóa chất hoặc Hợp đồng thuê nhà xưởng, kho chứa, Hợp đồng hay thỏa thuận mua bán hóa chất trong trường hợp tổ chức, cá nhân kinh doanh sử dụng kho của tổ chức, cá nhân mua hoặc bán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thiết bị kỹ thuật, trang bị phòng hộ lao động và an toàn của từng cơ sở sản xuất, kinh doanh hóa chất theo mẫu BM.HC.07.02;</w:t>
            </w:r>
          </w:p>
        </w:tc>
        <w:tc>
          <w:p/>
          <w:p>
            <w:pPr>
              <w:spacing w:after="0" w:before="0" w:lineRule="auto" w:line="276"/>
              <w:jc w:val="left"/>
            </w:pPr>
            <w:r>
              <w:rPr>
                <w:rFonts w:ascii="Times New Roman" w:hAnsi="Times New Roman" w:cs="Times New Roman" w:eastAsia="Times New Roman"/>
                <w:b w:val="false"/>
                <w:sz w:val="26"/>
              </w:rPr>
              <w:t>BM.HC.07.02.doc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đại học trở lên chuyên ngành hóa chất của Giám đốc hoặc Phó Giám đốc kỹ thuật hoặc cán bộ kỹ thuật phụ trách hoạt động sản xuất hóa chất của cơ sở sản xuất; Bản sao bằng trung cấp trở lên về chuyên ngành hóa chất của người phụ trách về an toàn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công nhận kết quả kiểm tra huấn luyện an toàn hóa chất của tổ chức, cá nhân theo quy định tại điểm đ khoản 4 Điều 34 của Nghị định số 113/2022/NĐ-CP;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an toàn hóa chất của các hóa chất nguy hiểm trong cơ sở sản xuất, kinh doanh hóa chất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Hà Tĩnh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(Số 02A, đường Nguyễn Chí Thanh, thành phố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01/2019/QĐ-UBND</w:t>
            </w:r>
          </w:p>
        </w:tc>
        <w:tc>
          <w:p/>
          <w:p>
            <w:pPr>
              <w:spacing w:after="0" w:before="0" w:lineRule="auto" w:line="276"/>
              <w:jc w:val="left"/>
            </w:pPr>
            <w:r>
              <w:rPr>
                <w:rFonts w:ascii="Times New Roman" w:hAnsi="Times New Roman" w:cs="Times New Roman" w:eastAsia="Times New Roman"/>
                <w:b w:val="false"/>
                <w:sz w:val="26"/>
              </w:rPr>
              <w:t>01/2019/QĐ-UBND</w:t>
            </w:r>
          </w:p>
        </w:tc>
        <w:tc>
          <w:p/>
          <w:p>
            <w:pPr>
              <w:spacing w:after="0" w:before="0" w:lineRule="auto" w:line="276"/>
              <w:jc w:val="left"/>
            </w:pPr>
            <w:r>
              <w:rPr>
                <w:rFonts w:ascii="Times New Roman" w:hAnsi="Times New Roman" w:cs="Times New Roman" w:eastAsia="Times New Roman"/>
                <w:b w:val="false"/>
                <w:sz w:val="26"/>
              </w:rPr>
              <w:t>04-01-2019</w:t>
            </w:r>
          </w:p>
        </w:tc>
        <w:tc>
          <w:p/>
          <w:p>
            <w:pPr>
              <w:spacing w:after="0" w:before="0" w:lineRule="auto" w:line="276"/>
              <w:jc w:val="left"/>
            </w:pPr>
            <w:r>
              <w:rPr>
                <w:rFonts w:ascii="Times New Roman" w:hAnsi="Times New Roman" w:cs="Times New Roman" w:eastAsia="Times New Roman"/>
                <w:b w:val="false"/>
                <w:sz w:val="26"/>
              </w:rPr>
              <w:t>UBND tỉnh Bắc Giang</w:t>
            </w:r>
          </w:p>
        </w:tc>
      </w:tr>
      <w:tr>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Quy định mức thu, chế đọ thu, nộp,quản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số 113/2017/NĐ-CP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2026-05-27T19:40:56Z</dcterms:created>
  <dc:creator>Apache POI</dc:creator>
</cp:coreProperties>
</file>