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02 tờ khai cho Trung tâm phục vụ hành chính công cấp xã. 
Trường hợp chưa có công trình khai thác nước dưới đất, tổ chức, cá nhân phải thực hiện việc đăng ký trước khi xây dựng công trình.
- Bước 2: Kiểm tra, xác nhận tờ khai:
Kể từ ngày nhận được tờ khai của tổ chức, cá nhân, Ủy ban nhân dân cấp huyện có trách nhiệm kiểm tra nội dung thông tin, xác nhận vào tờ khai và gửi 01 bản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sử dụng nước dưới đất tự chảy trong moong khai thác khoáng sát để tuyển quặng, bơm hút nước để tháo khô mỏ) theo Mẫu 14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Mau14.doc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khai thác cho các mục đích với quy mô không vượt quá 10m3/ngày đêm, trừ hộ gia đình khia thác nước dưới đất để dùng cho sinh hoạt của mình) theo Mẫu 13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Mu13.doc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Đăng ký khai thác nước dưới đất theo Mẫu 34a và Mẫu 34b tại Phụ lục I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08/1998/QH10</w:t>
            </w:r>
          </w:p>
        </w:tc>
        <w:tc>
          <w:p/>
          <w:p>
            <w:pPr>
              <w:spacing w:after="0" w:before="0" w:lineRule="auto" w:line="276"/>
              <w:jc w:val="left"/>
            </w:pPr>
            <w:r>
              <w:rPr>
                <w:rFonts w:ascii="Times New Roman" w:hAnsi="Times New Roman" w:cs="Times New Roman" w:eastAsia="Times New Roman"/>
                <w:b w:val="false"/>
                <w:sz w:val="26"/>
              </w:rPr>
              <w:t>LUẬT Tài nguyên nước</w:t>
            </w:r>
          </w:p>
        </w:tc>
        <w:tc>
          <w:p/>
          <w:p>
            <w:pPr>
              <w:spacing w:after="0" w:before="0" w:lineRule="auto" w:line="276"/>
              <w:jc w:val="left"/>
            </w:pPr>
            <w:r>
              <w:rPr>
                <w:rFonts w:ascii="Times New Roman" w:hAnsi="Times New Roman" w:cs="Times New Roman" w:eastAsia="Times New Roman"/>
                <w:b w:val="false"/>
                <w:sz w:val="26"/>
              </w:rPr>
              <w:t>20-05-1998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2026-05-14T14:52:46Z</dcterms:created>
  <dc:creator>Apache POI</dc:creator>
</cp:coreProperties>
</file>