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1.011518.H21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thăm dò nước dưới đất, giấy phép khai thác tài nguyên nước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trả lại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trả lại giấy phép. 
+ Trường hợp hồ sơ hợp lệ, Bộ phận Một cửa chuyển hồ sơ cho Sở Nông nghiệp và Môi trường để tổ chức thẩm định.
- Bước 3: Thẩm định hồ sơ và quyết định chấp thuận đề nghị trả lại giấy phép:
Kể từ ngày nhận đủ hồ sơ hợp lệ, Sở Nông nghiệp và Môi trường có trách nhiệm thẩm định hồ sơ.
+ Trường hợp đủ điều kiện để chấp thuận đề nghị trả lại giấy phép thăm dò nước dưới đất, giấy phép khai thác tài nguyên nước, Sở Nông nghiệp và Môi trường trình Chủ tịch Ủy ban nhân dân cấp tỉnh phê duyệt quyết định; trường hợp không đủ điều kiện để chấp thuận thì trả lại hồ sơ cho tổ chức, cá nhân và thông báo rõ lý do bằng văn bản.
+ Trường hợp phải bổ sung, chỉnh sửa để hoàn thiện hồ sơ, Sở Nông nghiệp và Môi trường gửi văn bản thông báo cho tổ chức, cá nhân đề nghị trả lại giấy phép nêu rõ những nội dung cần bổ sung, hoàn thiện hồ sơ. 
Thời gian bổ sung, hoàn thiện hồ sơ không tính vào thời gian thẩm định hồ sơ. Thời gian thẩm định sau khi hồ sơ được bổ sung hoàn chỉnh là 6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chứng minh việc hoàn thành nghĩa vụ tài chính, tiền cấp quyền khai thác tài nguyên nước và các nghĩa vụ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trả lại giấy phép theo Mẫu 10, Phụ lục I Nghị định số 23/2026/NĐ-CP.</w:t>
            </w:r>
          </w:p>
        </w:tc>
        <w:tc>
          <w:p/>
          <w:p>
            <w:pPr>
              <w:spacing w:after="0" w:before="0" w:lineRule="auto" w:line="276"/>
              <w:jc w:val="left"/>
            </w:pPr>
            <w:r>
              <w:rPr>
                <w:rFonts w:ascii="Times New Roman" w:hAnsi="Times New Roman" w:cs="Times New Roman" w:eastAsia="Times New Roman"/>
                <w:b w:val="false"/>
                <w:sz w:val="26"/>
              </w:rPr>
              <w:t>Mau10.doc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hoặc qua đường bưu điện đến Trung tâm Phục vụ hành chính công tỉnh hoặc Trung tâm Phục vụ hành chính công xã, phường. Trực tuyến tại Cổng Dịch vụ công quốc gia hoặc ứng dụng định danh quốc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Chấp thuận trả lại giấy phép thăm dò nước dưới đất, giấy phép khai thác tài nguyên nước theo Mẫu 27 Phụ lục I ban hành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760/QĐ-UBND</w:t>
            </w:r>
          </w:p>
        </w:tc>
        <w:tc>
          <w:p/>
          <w:p>
            <w:pPr>
              <w:spacing w:after="0" w:before="0" w:lineRule="auto" w:line="276"/>
              <w:jc w:val="left"/>
            </w:pPr>
            <w:r>
              <w:rPr>
                <w:rFonts w:ascii="Times New Roman" w:hAnsi="Times New Roman" w:cs="Times New Roman" w:eastAsia="Times New Roman"/>
                <w:b w:val="false"/>
                <w:sz w:val="26"/>
              </w:rPr>
              <w:t>Về việc ủy quyền cho Sở Nông nghiệp và Môi trường cấp, gia hạn, điều chỉnh,  cấp lại, chấp thuận trả lại, tạm dừng, đình chỉ, thu hồi Giấy phép thăm dò  nước dưới đất; tổ chức đăng ký khai thác, sử dụng tài nguyên nước mặt,  nước biển thuộc thẩm quyền của Ủy ban nhân dân tỉnh</w:t>
            </w:r>
          </w:p>
        </w:tc>
        <w:tc>
          <w:p/>
          <w:p>
            <w:pPr>
              <w:spacing w:after="0" w:before="0" w:lineRule="auto" w:line="276"/>
              <w:jc w:val="left"/>
            </w:pPr>
            <w:r>
              <w:rPr>
                <w:rFonts w:ascii="Times New Roman" w:hAnsi="Times New Roman" w:cs="Times New Roman" w:eastAsia="Times New Roman"/>
                <w:b w:val="false"/>
                <w:sz w:val="26"/>
              </w:rPr>
              <w:t>17-07-2025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2026-04-29T20:11:58Z</dcterms:created>
  <dc:creator>Apache POI</dc:creator>
</cp:coreProperties>
</file>