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phát thuốc Methadone cho người bệnh điều trị đặc biệt tại cơ sở khám,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bệnh làm đơn đề nghị được uống thuốc Methadone tại cơ sở khám bệnh, chữa bệnh theo mẫu số 1 Phụ lục 7 ban hành kèm theo Thông tư số 14/2015/TT-BYT ngày 25 tháng 6 năm 2015 gửi cơ sở điều trị Methadone.</w:t>
      </w:r>
    </w:p>
    <w:p>
      <w:pPr>
        <w:spacing w:after="0" w:before="0" w:lineRule="auto" w:line="276"/>
        <w:jc w:val="both"/>
      </w:pPr>
      <w:r>
        <w:rPr>
          <w:rFonts w:ascii="Times New Roman" w:hAnsi="Times New Roman" w:cs="Times New Roman" w:eastAsia="Times New Roman"/>
          <w:b w:val="false"/>
          <w:sz w:val="26"/>
        </w:rPr>
        <w:t>Bước 2: Bác sỹ tại cơ sở khám bệnh, chữa bệnh có trách nhiệm xác nhận vào đơn đề nghị được uống thuốc Methadone của người bệnh, trong đó xác nhận thông tin bệnh nhân không có chống chỉ định sử dụng thuốc Methadone. Đối với các trường hợp bệnh lý đặc biệt cần hội chẩn thì tổ chức hội chẩn theo quy định tại Điều 56 Luật khám bệnh, chữa bệnh.</w:t>
      </w:r>
    </w:p>
    <w:p>
      <w:pPr>
        <w:spacing w:after="0" w:before="0" w:lineRule="auto" w:line="276"/>
        <w:jc w:val="both"/>
      </w:pPr>
      <w:r>
        <w:rPr>
          <w:rFonts w:ascii="Times New Roman" w:hAnsi="Times New Roman" w:cs="Times New Roman" w:eastAsia="Times New Roman"/>
          <w:b w:val="false"/>
          <w:sz w:val="26"/>
        </w:rPr>
        <w:t>Bước 3: Căn cứ đơn đề nghị được uống thuốc Methadone và xác nhận không có chống chỉ định sử dụng thuốc Methadone của bác sỹ tại cơ sở khám bệnh, chữa bệnh,bác sỹ của cơ sở điều trị Methadone kê đơn thuốc Methadone cho người bệnh theo quy định tại Điểm đ Khoản 2 Điều 13 Thông tư số 14/2015/TT-BYT ngày 25 tháng 6 năm 2015.</w:t>
      </w:r>
    </w:p>
    <w:p>
      <w:pPr>
        <w:spacing w:after="0" w:before="0" w:lineRule="auto" w:line="276"/>
        <w:jc w:val="both"/>
      </w:pPr>
      <w:r>
        <w:rPr>
          <w:rFonts w:ascii="Times New Roman" w:hAnsi="Times New Roman" w:cs="Times New Roman" w:eastAsia="Times New Roman"/>
          <w:b w:val="false"/>
          <w:sz w:val="26"/>
        </w:rPr>
        <w:t>Bước 4: Căn cứ đơn thuốc của bác sỹ điều trị, nhân viên cấp phát thuốc của cơ sở điều trị Methadone có trách nhiệm:
- Giao đủ số lượng thuốc Methadone sử dụng trong một (01) ngày và Phiếu theo dõi điều trị Methadone của người bệnh cho nhân viên y tế được người đứng đầu cơ sở điều trị Methadone giao nhiệm vụ chuyển thuốc (sau đây gọi tắt là người giao thuốc Methadone) để chuyển thuốc Methadone tới cơ sở khám bệnh, chữa bệnh cho người bệnh;
- Ghi chép việc sử dụng thuốc của người bệnh vào Sổ theo dõi phát thuốc Methadone hằng ngày.</w:t>
      </w:r>
    </w:p>
    <w:p>
      <w:pPr>
        <w:spacing w:after="0" w:before="0" w:lineRule="auto" w:line="276"/>
        <w:jc w:val="both"/>
      </w:pPr>
      <w:r>
        <w:rPr>
          <w:rFonts w:ascii="Times New Roman" w:hAnsi="Times New Roman" w:cs="Times New Roman" w:eastAsia="Times New Roman"/>
          <w:b w:val="false"/>
          <w:sz w:val="26"/>
        </w:rPr>
        <w:t>Bước 5: Người giao thuốc Methadone có trách nhiệm mang các giấy tờ sau khi chuyển thuốc Methadone cho người bệnh:
- Giấy giới thiệu của cơ sở điều trị Methadone hoặc cơ sở cấp phát thuốc Methadone:
- Đơn thuốc Methadone;
- Phiếu theo dõi điều trị Methadone của người bệnh.
Người giao thuốc trực tiếp theo dõi việc uống thuốc Methadone của người bệnh và ký vào Phiếu theo dõi điều trị Methadone cùng người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tiếp nhận đơn đề nghị uống thuốc Methadone tại cơ sở khám bệnh, chữa bệnh của người bệnh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Ngay sau khi tiếp nhận đơn đề nghị uống thuốc Methadone tại cơ sở khám bệnh, chữa bệnh của người bệnh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tiếp nhận đơn đề nghị uống thuốc Methadone tại cơ sở khám bệnh, chữa bệnh của người bệnh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Ngay sau khi tiếp nhận đơn đề nghị uống thuốc Methadone tại cơ sở khám bệnh, chữa bệnh của người bệnh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uống thuốc Methadone tại cơ sở khám bệnh, chữa bệnh theo mẫu số 01 Phụ lục 7 ban hành kèm theo Thông tư số 14/2015/TT-BYT.</w:t>
            </w:r>
          </w:p>
        </w:tc>
        <w:tc>
          <w:p/>
          <w:p>
            <w:pPr>
              <w:spacing w:after="0" w:before="0" w:lineRule="auto" w:line="276"/>
              <w:jc w:val="left"/>
            </w:pPr>
            <w:r>
              <w:rPr>
                <w:rFonts w:ascii="Times New Roman" w:hAnsi="Times New Roman" w:cs="Times New Roman" w:eastAsia="Times New Roman"/>
                <w:b w:val="false"/>
                <w:sz w:val="26"/>
              </w:rPr>
              <w:t>TT 14_2015_TTBYT_Mau 01 Phu luc 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điều trị Methadone</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điều trị Methadone</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bệnh được cấp phát thuốc Methadone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34/2005/QH11</w:t>
            </w:r>
          </w:p>
        </w:tc>
        <w:tc>
          <w:p/>
          <w:p>
            <w:pPr>
              <w:spacing w:after="0" w:before="0" w:lineRule="auto" w:line="276"/>
              <w:jc w:val="left"/>
            </w:pPr>
            <w:r>
              <w:rPr>
                <w:rFonts w:ascii="Times New Roman" w:hAnsi="Times New Roman" w:cs="Times New Roman" w:eastAsia="Times New Roman"/>
                <w:b w:val="false"/>
                <w:sz w:val="26"/>
              </w:rPr>
              <w:t>Luật 34/2005/QH11-Dược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14/2015/TT-BYT</w:t>
            </w:r>
          </w:p>
        </w:tc>
        <w:tc>
          <w:p/>
          <w:p>
            <w:pPr>
              <w:spacing w:after="0" w:before="0" w:lineRule="auto" w:line="276"/>
              <w:jc w:val="left"/>
            </w:pPr>
            <w:r>
              <w:rPr>
                <w:rFonts w:ascii="Times New Roman" w:hAnsi="Times New Roman" w:cs="Times New Roman" w:eastAsia="Times New Roman"/>
                <w:b w:val="false"/>
                <w:sz w:val="26"/>
              </w:rPr>
              <w:t>Thông tư 14/2015/TT-BYT - Quản lý thuốc Methadone</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90/2016/NĐ-CP</w:t>
            </w:r>
          </w:p>
        </w:tc>
        <w:tc>
          <w:p/>
          <w:p>
            <w:pPr>
              <w:spacing w:after="0" w:before="0" w:lineRule="auto" w:line="276"/>
              <w:jc w:val="left"/>
            </w:pPr>
            <w:r>
              <w:rPr>
                <w:rFonts w:ascii="Times New Roman" w:hAnsi="Times New Roman" w:cs="Times New Roman" w:eastAsia="Times New Roman"/>
                <w:b w:val="false"/>
                <w:sz w:val="26"/>
              </w:rPr>
              <w:t>Nghị định 90/2016/NĐ-CP - Nghị định 90/2016/NĐ-CP</w:t>
            </w:r>
          </w:p>
        </w:tc>
        <w:tc>
          <w:p/>
          <w:p>
            <w:pPr>
              <w:spacing w:after="0" w:before="0" w:lineRule="auto" w:line="276"/>
              <w:jc w:val="left"/>
            </w:pPr>
            <w:r>
              <w:rPr>
                <w:rFonts w:ascii="Times New Roman" w:hAnsi="Times New Roman" w:cs="Times New Roman" w:eastAsia="Times New Roman"/>
                <w:b w:val="false"/>
                <w:sz w:val="26"/>
              </w:rPr>
              <w:t>01-07-2016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2026-05-22T20:37:23Z</dcterms:created>
  <dc:creator>Apache POI</dc:creator>
</cp:coreProperties>
</file>