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1924a/QĐ-BQP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Thanh toán chi phí khám, chữa bệnh tại cơ sở dân y đối với công nhân viên chức quốc phòng, lao động hợp đồng có chỉ tiêu của Bộ Tổng Tham mưu, trong trường hợp phải xử lý cấp cứu do bị thương, tai nạn, các bệnh lý (nội, ngoại khoa, chuyên khoa), hoặc thai sản, hoặc tiêm phòng dại do địa bàn đóng quân thuộc vùng sâu, vùng xa giao thông đi lại khó khăn, xa cơ sở khám, chữa bệnh của quân đội hoặc cơ sở khám, chữa bệnh của quân đội không có chuyên khoa hay không đủ năng lực điều trị, phải giới thiệu ra cơ sở dân y để đảm bảo an toàn cho người bệnh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Quân y đơn vị chủ động liên hệ, hợp đồng, đăng ký với cơ sở dân y trong khu vực giới thiệu người bệnh đến khám, chữa bệnh tại cơ sở dân y.</w:t>
      </w:r>
    </w:p>
    <w:p>
      <w:pPr>
        <w:spacing w:after="0" w:before="0" w:lineRule="auto" w:line="276"/>
        <w:jc w:val="both"/>
      </w:pPr>
      <w:r>
        <w:rPr>
          <w:rFonts w:ascii="Times New Roman" w:hAnsi="Times New Roman" w:cs="Times New Roman" w:eastAsia="Times New Roman"/>
          <w:b w:val="false"/>
          <w:sz w:val="26"/>
        </w:rPr>
        <w:t>Bước 2: Đơn vị hoặc bệnh viện ứng tiền nộp viện phí cho người bệnh.</w:t>
      </w:r>
    </w:p>
    <w:p>
      <w:pPr>
        <w:spacing w:after="0" w:before="0" w:lineRule="auto" w:line="276"/>
        <w:jc w:val="both"/>
      </w:pPr>
      <w:r>
        <w:rPr>
          <w:rFonts w:ascii="Times New Roman" w:hAnsi="Times New Roman" w:cs="Times New Roman" w:eastAsia="Times New Roman"/>
          <w:b w:val="false"/>
          <w:sz w:val="26"/>
        </w:rPr>
        <w:t>Bước 3: Người khám, chữa bệnh tại cơ sở dân y nộp các giấy tờ (theo quy định) liên quan đến việc khám, chữa bệnh tại cơ sở dân y cho Hội đồng thẩm định đơn vị (qua quân y đơn vị).</w:t>
      </w:r>
    </w:p>
    <w:p>
      <w:pPr>
        <w:spacing w:after="0" w:before="0" w:lineRule="auto" w:line="276"/>
        <w:jc w:val="both"/>
      </w:pPr>
      <w:r>
        <w:rPr>
          <w:rFonts w:ascii="Times New Roman" w:hAnsi="Times New Roman" w:cs="Times New Roman" w:eastAsia="Times New Roman"/>
          <w:b w:val="false"/>
          <w:sz w:val="26"/>
        </w:rPr>
        <w:t>Bước 4: Hội đồng thẩm định đơn vị thẩm định, phê duyệt.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đề nghị thanh toán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khám bệnh, hoặc giấy ra viện, hoặc sổ khám bệnh, chữa bệnh do cơ sở dân y cấp.</w:t>
            </w:r>
          </w:p>
        </w:tc>
        <w:tc>
          <w:p/>
          <w:p>
            <w:pPr>
              <w:spacing w:after="0" w:before="0" w:lineRule="auto" w:line="276"/>
              <w:jc w:val="left"/>
            </w:pPr>
            <w:r>
              <w:rPr>
                <w:rFonts w:ascii="Times New Roman" w:hAnsi="Times New Roman" w:cs="Times New Roman" w:eastAsia="Times New Roman"/>
                <w:b w:val="false"/>
                <w:sz w:val="26"/>
              </w:rPr>
              <w:t>Don de nghi, QD 105.2008.QD-BQP.pdf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bị chết phải có giấy chứng tử của bệnh viện nơi người bệnh khám bệnh, chữa bệnh và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lai thu viện phí, hoá đơn mua thuốc theo quy định của Bộ Tài chính, hợp đồng thuê vận chuyển, hoặc chứng từ thanh toán vận chuyển bệnh nhân đối với trường hợp vận chuyển bệnh nhân không do đơn vị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nghỉ ốm, phải khám bệnh, chữa bệnh tại cơ sở dân y do quân y đơn vị cấp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4</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của người bệnh đề nghị thanh toán chi phí khám bệnh, chữa bệnh tại cơ sở dân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5</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các trường hợp đang làm nhiệm vụ, hoặc đi công tác, hoặc nghỉ phép, hoặc do quá khả năng khám bệnh, chữa bệnh của cơ sở quân y thì phải kèm theo giấy công tác, hoặc giấy nghỉ phép, hoặc giấy giới thiệu đi khám bệnh, chữa bệnh của quân y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thẩm định thanh toán chi phí khám bệnh, chữa bệnh tại cơ sở dân 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Quân y đơn vị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nhiệm Quân y cấp trực thuộc Bộ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63/2005/NĐ-CP</w:t>
            </w:r>
          </w:p>
        </w:tc>
        <w:tc>
          <w:p/>
          <w:p>
            <w:pPr>
              <w:spacing w:after="0" w:before="0" w:lineRule="auto" w:line="276"/>
              <w:jc w:val="left"/>
            </w:pPr>
            <w:r>
              <w:rPr>
                <w:rFonts w:ascii="Times New Roman" w:hAnsi="Times New Roman" w:cs="Times New Roman" w:eastAsia="Times New Roman"/>
                <w:b w:val="false"/>
                <w:sz w:val="26"/>
              </w:rPr>
              <w:t>Về việc ban hành Điều lệ Bảo hiểm y tế</w:t>
            </w:r>
          </w:p>
        </w:tc>
        <w:tc>
          <w:p/>
          <w:p>
            <w:pPr>
              <w:spacing w:after="0" w:before="0" w:lineRule="auto" w:line="276"/>
              <w:jc w:val="left"/>
            </w:pPr>
            <w:r>
              <w:rPr>
                <w:rFonts w:ascii="Times New Roman" w:hAnsi="Times New Roman" w:cs="Times New Roman" w:eastAsia="Times New Roman"/>
                <w:b w:val="false"/>
                <w:sz w:val="26"/>
              </w:rPr>
              <w:t>16-05-2005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105/2008/QĐ-BQP</w:t>
            </w:r>
          </w:p>
        </w:tc>
        <w:tc>
          <w:p/>
          <w:p>
            <w:pPr>
              <w:spacing w:after="0" w:before="0" w:lineRule="auto" w:line="276"/>
              <w:jc w:val="left"/>
            </w:pPr>
            <w:r>
              <w:rPr>
                <w:rFonts w:ascii="Times New Roman" w:hAnsi="Times New Roman" w:cs="Times New Roman" w:eastAsia="Times New Roman"/>
                <w:b w:val="false"/>
                <w:sz w:val="26"/>
              </w:rPr>
              <w:t>Về việc thanh toán chi phí khám bệnh, chữa bệnh đối với quân nhân, công nhân viên chức quốc phòng khi khám bệnh, chữa bệnh tại cơ sở dân y</w:t>
            </w:r>
          </w:p>
        </w:tc>
        <w:tc>
          <w:p/>
          <w:p>
            <w:pPr>
              <w:spacing w:after="0" w:before="0" w:lineRule="auto" w:line="276"/>
              <w:jc w:val="left"/>
            </w:pPr>
            <w:r>
              <w:rPr>
                <w:rFonts w:ascii="Times New Roman" w:hAnsi="Times New Roman" w:cs="Times New Roman" w:eastAsia="Times New Roman"/>
                <w:b w:val="false"/>
                <w:sz w:val="26"/>
              </w:rPr>
              <w:t>11-07-2008</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2026-05-23T17:00:03Z</dcterms:created>
  <dc:creator>Apache POI</dc:creator>
</cp:coreProperties>
</file>