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2.002546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sửa đổi, bổ sung Giấy chứng nhận chuyển giao công nghệ khuyến khích chuyển giao (trừ trường hợp thuộc thẩm quyền giải quyết của Bộ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sửa đổi, bổ sung Giấy chứng nhận chuyển giao công nghệ khuyến khích chuyển giao</w:t>
      </w:r>
    </w:p>
    <w:p>
      <w:pPr>
        <w:spacing w:after="0" w:before="0" w:lineRule="auto" w:line="276"/>
        <w:jc w:val="both"/>
      </w:pPr>
      <w:r>
        <w:rPr>
          <w:rFonts w:ascii="Times New Roman" w:hAnsi="Times New Roman" w:cs="Times New Roman" w:eastAsia="Times New Roman"/>
          <w:b w:val="false"/>
          <w:sz w:val="26"/>
        </w:rPr>
        <w:t>- Bên giao hoặc bên nhận công nghệ thay mặt các bên nộp hồ sơ đề nghị sửa đổi, bổ sung Giấy chứng nhận đến Trung tâm Phục vụ hành chính công cấp tỉnh (Cơ quan chuyên môn về  khoa học và công nghệ thuộc Ủy ban nhân dân cấp tỉnh);
- Trong thời hạn 03 ngày làm việc kể từ ngày nhận được hồ sơ, cơ quan chuyên môn về  khoa học và công nghệ thuộc Ủy ban nhân dân cấp tỉnh nhận xem xét tính đầy đủ, hợp lệ của hồ sơ. Trường hợp hồ sơ chưa đầy đủ, hợp lệ hoặc có nội dung cần phải sửa đổi, bổ sung, cơ quan chuyên môn về  khoa học và công nghệ thuộc Ủy ban nhân dân cấp tỉnh có văn bản đề nghị sửa đổi, bổ sung, trong đó nêu rõ nội dung, thời hạn sửa đổi, bổ sung;
- Trong thời hạn 8 ngày làm việc kể từ ngày nhận được hồ sơ đầy đủ, hợp lệ, cơ quan chuyên môn về  khoa học và công nghệ thuộc Ủy ban nhân dân cấp tỉnh xem xét, cấp Giấy chứng nhận chuyển giao công nghệ khuyến khích chuyển giao sửa đổi, bổ sung. Trường hợp từ chối, phải trả lời và nêu rõ lý do từ chối bằng văn bản.
Trong trường hợp có thay đổi công nghệ, sản phẩm công nghệ hoặc quy mô sản lượng, tiêu chuẩn chất lượng sản phẩm, trình tự thực hiện theo trình tự cấp Giấy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8 ngày làm việc kể từ ngày nhận được hồ sơ đầy đủ, hợp lệ theo quy định;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12 ngày làm việc đối với trường hợp có thay đổi công nghệ, sản phẩm công nghệ hoặc quy mô sản lượng, tiêu chuẩn chất lượng sản phẩm.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8 ngày làm việc kể từ ngày nhận được hồ sơ đầy đủ, hợp lệ theo quy định;
- 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12 ngày làm việc đối với trường hợp có thay đổi công nghệ, sản phẩm công nghệ hoặc quy mô sản lượng, tiêu chuẩn chất lượng sản phẩm.
- 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8 ngày làm việc kể từ ngày nhận được hồ sơ đầy đủ, hợp lệ theo quy định;
- Nộp qua dịch vụ bưu chính tới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12 ngày làm việc đối với trường hợp có thay đổi công nghệ, sản phẩm công nghệ hoặc quy mô sản lượng, tiêu chuẩn chất lượng sản phẩm.
- 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sửa đổi, bổ sung Giấy chứng nhận chuyển giao công nghệ khuyến khích chuyển giao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sửa đổi, bổ sung Giấy chứng nhận chuyển giao công nghệ khuyến khích chuyển giao theo Mẫu số 08 tại Phụ lục ban hành kèm theo Quyết định số 12/2023/QĐ-TTg</w:t>
            </w:r>
          </w:p>
        </w:tc>
        <w:tc>
          <w:p/>
          <w:p>
            <w:pPr>
              <w:spacing w:after="0" w:before="0" w:lineRule="auto" w:line="276"/>
              <w:jc w:val="left"/>
            </w:pPr>
            <w:r>
              <w:rPr>
                <w:rFonts w:ascii="Times New Roman" w:hAnsi="Times New Roman" w:cs="Times New Roman" w:eastAsia="Times New Roman"/>
                <w:b w:val="false"/>
                <w:sz w:val="26"/>
              </w:rPr>
              <w:t>Mẫu 08_VB sửa đổi, bổ sung đề nghị cấp Giấy CN CGCN KKCG.docx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chứng nhận chuyển giao công nghệ khuyến khích chuyển giao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văn bản thỏa thuận chuyển giao công nghệ sửa đổi, bổ sung bằng tiếng Việt hoặc bản dịch sang tiếng Việt có công chứng hoặc chứng thực đối với văn bản thỏa thuận bằng tiếng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Thuyết minh nội dung chuyển giao công nghệ khuyến khích chuyển giao trong văn bản thỏa thuận chuyển giao công nghệ sửa đổi, bổ sung theo Mẫu số 02 tại Phụ lục ban hành kèm theo Quyết định số 12/2023/QĐ-TTg</w:t>
            </w:r>
          </w:p>
        </w:tc>
        <w:tc>
          <w:p/>
          <w:p>
            <w:pPr>
              <w:spacing w:after="0" w:before="0" w:lineRule="auto" w:line="276"/>
              <w:jc w:val="left"/>
            </w:pPr>
            <w:r>
              <w:rPr>
                <w:rFonts w:ascii="Times New Roman" w:hAnsi="Times New Roman" w:cs="Times New Roman" w:eastAsia="Times New Roman"/>
                <w:b w:val="false"/>
                <w:sz w:val="26"/>
              </w:rPr>
              <w:t>Mẫu 02_Thuyết minh nội dung CGCN KKCG.docx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bằng bảo hộ hoặc đơn đăng ký đối tượng sở hữu công nghiệp (trong trường hợp chưa được cấp văn bằng bảo hộ), giấy chứng nhận chuyển giao quyền sở hữu hoặc quyền sử dụng đối tượng sở hữu công nghiệp (nếu có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triển khai hoạt động chuyển giao công nghệ khuyến khích chuyển giao theo nội dung trong văn bản thỏa thuận chuyển giao công nghệ sửa đổi, bổ sung theo Mẫu số 03 tại Phụ lục ban hành kèm theo Quyết định số 12/2023/QĐ-TTg</w:t>
            </w:r>
          </w:p>
        </w:tc>
        <w:tc>
          <w:p/>
          <w:p>
            <w:pPr>
              <w:spacing w:after="0" w:before="0" w:lineRule="auto" w:line="276"/>
              <w:jc w:val="left"/>
            </w:pPr>
            <w:r>
              <w:rPr>
                <w:rFonts w:ascii="Times New Roman" w:hAnsi="Times New Roman" w:cs="Times New Roman" w:eastAsia="Times New Roman"/>
                <w:b w:val="false"/>
                <w:sz w:val="26"/>
              </w:rPr>
              <w:t>Mẫu 03_Báo cáo triển khai CGCN KKCG.docx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Khoa học và Công nghệ nơi có chuyển giao công nghệ khuyến khích chuyển giao trong dự án đầu tư tại địa phương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chuyển giao công nghệ khuyến khích chuyển giao sửa đổi, bổ sung (trừ trường hợp thuộc thẩm quyền giải quyết của Bộ Khoa học và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61/2020/QH14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tc>
      </w:tr>
      <w:tr>
        <w:tc>
          <w:p/>
          <w:p>
            <w:pPr>
              <w:spacing w:after="0" w:before="0" w:lineRule="auto" w:line="276"/>
              <w:jc w:val="left"/>
            </w:pPr>
            <w:r>
              <w:rPr>
                <w:rFonts w:ascii="Times New Roman" w:hAnsi="Times New Roman" w:cs="Times New Roman" w:eastAsia="Times New Roman"/>
                <w:b w:val="false"/>
                <w:sz w:val="26"/>
              </w:rPr>
              <w:t>12/2023/QĐ-TTg</w:t>
            </w:r>
          </w:p>
        </w:tc>
        <w:tc>
          <w:p/>
          <w:p>
            <w:pPr>
              <w:spacing w:after="0" w:before="0" w:lineRule="auto" w:line="276"/>
              <w:jc w:val="left"/>
            </w:pPr>
            <w:r>
              <w:rPr>
                <w:rFonts w:ascii="Times New Roman" w:hAnsi="Times New Roman" w:cs="Times New Roman" w:eastAsia="Times New Roman"/>
                <w:b w:val="false"/>
                <w:sz w:val="26"/>
              </w:rPr>
              <w:t>Quyết định về cấp Giấy chứng nhận chuyển giao công nghệ  khuyến khích chuyển giao</w:t>
            </w:r>
          </w:p>
        </w:tc>
        <w:tc>
          <w:p/>
          <w:p>
            <w:pPr>
              <w:spacing w:after="0" w:before="0" w:lineRule="auto" w:line="276"/>
              <w:jc w:val="left"/>
            </w:pPr>
            <w:r>
              <w:rPr>
                <w:rFonts w:ascii="Times New Roman" w:hAnsi="Times New Roman" w:cs="Times New Roman" w:eastAsia="Times New Roman"/>
                <w:b w:val="false"/>
                <w:sz w:val="26"/>
              </w:rPr>
              <w:t>15-05-2023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2026-05-25T08:02:52Z</dcterms:created>
  <dc:creator>Apache POI</dc:creator>
</cp:coreProperties>
</file>