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1.011675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694/QĐ-BXD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Miễn nhiệm và thu hồi thẻ giám định viên tư pháp xây dựng ở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 tư pháp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quan, tổ chức quản lý giám định viên tư pháp lập hồ sơ miễn nhiệm và thu hồi thẻ giám định viên tư pháp xây dựng gửi Bộ phận tiếp nhận và trả kết quả giải quyết thủ tục hành chính của Ủy ban nhân dân cấp tỉnh;</w:t>
      </w:r>
    </w:p>
    <w:p>
      <w:pPr>
        <w:spacing w:after="0" w:before="0" w:lineRule="auto" w:line="276"/>
        <w:jc w:val="both"/>
      </w:pPr>
      <w:r>
        <w:rPr>
          <w:rFonts w:ascii="Times New Roman" w:hAnsi="Times New Roman" w:cs="Times New Roman" w:eastAsia="Times New Roman"/>
          <w:b w:val="false"/>
          <w:sz w:val="26"/>
        </w:rPr>
        <w:t>- Sở Xây dựng chủ trì phối hợp với Sở Tư pháp tiếp nhận, kiểm tra hồ sơ đề nghị miễn nhiệm và thu hồi thẻ giám định viên tư pháp, trình Chủ tịch Ủy ban nhân dân cấp tỉnh xem xét, quyết định;</w:t>
      </w:r>
    </w:p>
    <w:p>
      <w:pPr>
        <w:spacing w:after="0" w:before="0" w:lineRule="auto" w:line="276"/>
        <w:jc w:val="both"/>
      </w:pPr>
      <w:r>
        <w:rPr>
          <w:rFonts w:ascii="Times New Roman" w:hAnsi="Times New Roman" w:cs="Times New Roman" w:eastAsia="Times New Roman"/>
          <w:b w:val="false"/>
          <w:sz w:val="26"/>
        </w:rPr>
        <w:t>- Trong vòng 10 ngày kể từ khi nhận được hồ sơ hợp lệ theo quy định, Chủ tịch Ủy ban nhân dân cấp tỉnh ra quyết định miễn nhiệm và thu hồi thẻ giám định viên tư pháp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Bộ phận tiếp nhận và trả kết quả giải quyết thủ tục hành chính của Ủy ban nhân dân cấp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qua dịch vụ bưu chí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miễn nhiệm giám định viên tư pháp của cơ quan, tổ chức quản lý giám định viên tư pháp hoặc đơn xin miễn nhiệm của giám định viên tư pháp (theo mẫu số 01 kèm theo Quyết định này);</w:t>
            </w:r>
          </w:p>
        </w:tc>
        <w:tc>
          <w:p/>
          <w:p>
            <w:pPr>
              <w:spacing w:after="0" w:before="0" w:lineRule="auto" w:line="276"/>
              <w:jc w:val="left"/>
            </w:pPr>
            <w:r>
              <w:rPr>
                <w:rFonts w:ascii="Times New Roman" w:hAnsi="Times New Roman" w:cs="Times New Roman" w:eastAsia="Times New Roman"/>
                <w:b w:val="false"/>
                <w:sz w:val="26"/>
              </w:rPr>
              <w:t>Van ban de nghi mien nhiem thu hoi the giam dinh vien tu phap xay dung (cap tinh).docx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giấy tờ chứng minh giám định viên tư pháp thuộc một trong các trường hợp quy định tại khoản 1 Điều 10 Luật Giám định tư pháp được sửa đổi, bổ sung tại khoản 6 Điều 1 Luật số 56/2020/QH14, cụ thể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Không còn đủ tiêu chuẩn quy định tại khoản 1 Điều 7 của Luật Giám định tư pháp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Thuộc một trong các trường hợp quy định tại khoản 2 Điều 7 của Luật Giám định tư pháp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Bị xử lý kỷ luật từ hình thức cảnh cáo trở lên hoặc bị xử phạt vi phạm hành chính do cố ý vi phạm quy định của pháp luật về giám định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Thực hiện một trong các hành vi quy định tại Điều 6 của Luật Giám định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Có quyết định nghỉ hưu hoặc quyết định thôi việc, trừ trường hợp có văn bản thể hiện nguyện vọng tiếp tục tham gia hoạt động giám định tư pháp và cơ quan, tổ chức quản lý trực tiếp có nhu cầu sử dụng phù hợp với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Chuyển đổi vị trí công tác hoặc chuyển công tác sang cơ quan, tổ chức khác mà không còn điều kiện phù hợp để tiếp tục thực hiện giám định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Theo đề nghị của giám định viên tư pháp. Trường hợp giám định viên tư pháp là công chức, viên chức, sĩ quan quân đội, sĩ quan công an nhân dân, quân nhân chuyên nghiệp, công nhân quốc phòng thì phải được sự chấp thuận của cơ quan, tổ chức quản lý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Giám định viên tư pháp được bổ nhiệm để thành lập Văn phòng giám định tư pháp nhưng sau thời hạn 01 năm, kể từ ngày được bổ nhiệm không thành lập Văn phòng hoặc sau thời hạn 01 năm, kể từ ngày có quyết định cho phép thành lập Văn phòng mà không đăng ký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Sở Tư pháp - TP. Hải Phòng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thủ tục hành chính của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miễn nhiệm và thu hồi thẻ giám định viên tư pháp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13/2012/QH13</w:t>
            </w:r>
          </w:p>
        </w:tc>
        <w:tc>
          <w:p/>
          <w:p>
            <w:pPr>
              <w:spacing w:after="0" w:before="0" w:lineRule="auto" w:line="276"/>
              <w:jc w:val="left"/>
            </w:pPr>
            <w:r>
              <w:rPr>
                <w:rFonts w:ascii="Times New Roman" w:hAnsi="Times New Roman" w:cs="Times New Roman" w:eastAsia="Times New Roman"/>
                <w:b w:val="false"/>
                <w:sz w:val="26"/>
              </w:rPr>
              <w:t>Luật Giám định tư pháp năm 2012</w:t>
            </w:r>
          </w:p>
        </w:tc>
        <w:tc>
          <w:p/>
          <w:p>
            <w:pPr>
              <w:spacing w:after="0" w:before="0" w:lineRule="auto" w:line="276"/>
              <w:jc w:val="left"/>
            </w:pPr>
            <w:r>
              <w:rPr>
                <w:rFonts w:ascii="Times New Roman" w:hAnsi="Times New Roman" w:cs="Times New Roman" w:eastAsia="Times New Roman"/>
                <w:b w:val="false"/>
                <w:sz w:val="26"/>
              </w:rPr>
              <w:t>20-06-2012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Khoản 1 Điều 10 Luật Giám định tư pháp được sửa đổi, bổ sung tại khoản 6 Điều 1 Luật số 56/2020/QH14, cụ thể như sau:
+ Không còn đủ tiêu chuẩn quy định tại khoản 1 Điều 7 của Luật Giám định tư pháp;
+ Thuộc một trong các trường hợp quy định tại khoản 2 Điều 7 của Luật Giám định tư pháp;
+ Bị xử lý kỷ luật từ hình thức cảnh cáo trở lên hoặc bị xử phạt vi phạm hành chính do cố ý vi phạm quy định của pháp luật về giám định tư pháp;
+ Thực hiện một trong các hành vi quy định tại Điều 6 của Luật Giám định tư pháp;
+ Có quyết định nghỉ hưu hoặc quyết định thôi việc, trừ trường hợp có văn bản thể hiện nguyện vọng tiếp tục tham gia hoạt động giám định tư pháp và cơ quan, tổ chức quản lý trực tiếp có nhu cầu sử dụng phù hợp với quy định của pháp luật;
+ Chuyển đổi vị trí công tác hoặc chuyển công tác sang cơ quan, tổ chức khác mà không còn điều kiện phù hợp để tiếp tục thực hiện giám định tư pháp;
+ Theo đề nghị của giám định viên tư pháp. Trường hợp giám định viên tư pháp là công chức, viên chức, sĩ quan quân đội, sĩ quan công an nhân dân, quân nhân chuyên nghiệp, công nhân quốc phòng thì phải được sự chấp thuận của cơ quan, tổ chức quản lý trực tiếp;
+ Giám định viên tư pháp được bổ nhiệm để thành lập Văn phòng giám định tư pháp nhưng sau thời hạn 01 năm, kể từ ngày được bổ nhiệm không thành lập Văn phòng hoặc sau thời hạn 01 năm, kể từ ngày có quyết định cho phép thành lập Văn phòng mà không đăng ký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2026-05-17T14:59:50Z</dcterms:created>
  <dc:creator>Apache POI</dc:creator>
</cp:coreProperties>
</file>