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mai táng phí, trợ cấp một lần khi người có công với cách mạng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lập bản khai theo mẫu  kèm bản sao giấy chứng tử gửi Ủy ban nhân dân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bản khai và giấy chứng tử, có trách nhiệm xác nhận bản khai,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động - Thương binh và Xã hội trong thời gian 10 ngày làm việc kể từ ngày nhận đủ các giấy tờ, có trách nhiệm kiểm tra, lập phiếu báo giảm và tổng hợp danh sách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làm việc kể từ ngày nhận đủ các giấy tờ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đại diện thân nhân (kèm biên bản ủy quyền) hoặc người tổ chức mai táng (Mẫu TT1)</w:t>
            </w:r>
          </w:p>
        </w:tc>
        <w:tc>
          <w:p/>
          <w:p>
            <w:pPr>
              <w:spacing w:after="0" w:before="0" w:lineRule="auto" w:line="276"/>
              <w:jc w:val="left"/>
            </w:pPr>
            <w:r>
              <w:rPr>
                <w:rFonts w:ascii="Times New Roman" w:hAnsi="Times New Roman" w:cs="Times New Roman" w:eastAsia="Times New Roman"/>
                <w:b w:val="false"/>
                <w:sz w:val="26"/>
              </w:rPr>
              <w:t>Mẫu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w:t>
            </w:r>
          </w:p>
        </w:tc>
        <w:tc>
          <w:p/>
          <w:p>
            <w:pPr>
              <w:spacing w:after="0" w:before="0" w:lineRule="auto" w:line="276"/>
              <w:jc w:val="left"/>
            </w:pPr>
            <w:r>
              <w:rPr>
                <w:rFonts w:ascii="Times New Roman" w:hAnsi="Times New Roman" w:cs="Times New Roman" w:eastAsia="Times New Roman"/>
                <w:b w:val="false"/>
                <w:sz w:val="26"/>
              </w:rPr>
              <w:t>các Mẫu  UQ.doc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một lần và giải quyết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2026-05-23T19:28:48Z</dcterms:created>
  <dc:creator>Apache POI</dc:creator>
</cp:coreProperties>
</file>