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về an ninh, trật tự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ngành nghề đầu tư, kinh doanh có điều kiện về an ninh, trật tự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có nhu cầu được cấp mới Giấy chứng nhận đủ điều kiện về an ninh, trật tự để kinh doanh một số ngành, nghề đầu tư kinh doanh có điều kiện nộp hồ sơ về Công an cấp xã.
- Bước 2: Cán bộ tiếp nhận kiểm tra tính hợp lệ và thành phần của hồ sơ. Nếu hồ sơ hợp lệ và đầy đủ thành phần thì tiếp nhận giải quyết và gửi Giấy biên nhận hồ sơ; nếu hồ sơ chưa hợp lệ hoặc thiếu thành phần thì hướng dẫn hoàn thiện hồ sơ, đồng thời gửi Phiếu hướng dẫn hoàn thiện hồ sơ; nếu hồ sơ không đủ điều kiện hoặc không thuộc thẩm quyền giải quyết thì từ chối tiếp nhận hồ sơ và gửi thông báo về việc hồ sơ không đủ điều kiện cấp Giấy chứng nhận đủ điều kiện về an ninh, trật tự.
- Bước 3: Căn cứ theo thời gian hẹn trên Giấy biên nhận hồ sơ, tổ chức, cá nhân sẽ được cơ quan có thẩm quyền giải quyết hồ sơ gửi kết quả Giấy chứng nhận đủ điều kiện về an ninh, trật tự qua Cổng dịch vụ công quốc gia hoặc Cổng dịch vụ công Bộ Công an, qua dịch vụ bưu chính hoặc nhận trực tiếp tại bộ phận tiếp nhận hồ sơ của Công an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300.000 Đồng</w:t>
            </w:r>
          </w:p>
        </w:tc>
        <w:tc>
          <w:p/>
          <w:p>
            <w:pPr>
              <w:spacing w:after="0" w:before="0" w:lineRule="auto" w:line="276"/>
              <w:jc w:val="left"/>
            </w:pPr>
            <w:r>
              <w:rPr>
                <w:rFonts w:ascii="Times New Roman" w:hAnsi="Times New Roman" w:cs="Times New Roman" w:eastAsia="Times New Roman"/>
                <w:b w:val="false"/>
                <w:sz w:val="26"/>
              </w:rPr>
              <w:t>- Nộp hồ sơ, nhận kết quả trực tiếp tại bộ phận tiếp nhận hồ sơ của Công an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300.000 Đồng</w:t>
            </w:r>
          </w:p>
        </w:tc>
        <w:tc>
          <w:p/>
          <w:p>
            <w:pPr>
              <w:spacing w:after="0" w:before="0" w:lineRule="auto" w:line="276"/>
              <w:jc w:val="left"/>
            </w:pPr>
            <w:r>
              <w:rPr>
                <w:rFonts w:ascii="Times New Roman" w:hAnsi="Times New Roman" w:cs="Times New Roman" w:eastAsia="Times New Roman"/>
                <w:b w:val="false"/>
                <w:sz w:val="26"/>
              </w:rPr>
              <w:t>- Nộp hồ sơ qua Cổng dịch vụ công (trừ các văn bản, giấy tờ không được phép đăng tải qua hệ thống mạng theo quy định của pháp luật).
- Nhận kết quả qua Cổng dịch vụ công (khi triển khai kết quả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300.000 Đồng</w:t>
            </w:r>
          </w:p>
        </w:tc>
        <w:tc>
          <w:p/>
          <w:p>
            <w:pPr>
              <w:spacing w:after="0" w:before="0" w:lineRule="auto" w:line="276"/>
              <w:jc w:val="left"/>
            </w:pPr>
            <w:r>
              <w:rPr>
                <w:rFonts w:ascii="Times New Roman" w:hAnsi="Times New Roman" w:cs="Times New Roman" w:eastAsia="Times New Roman"/>
                <w:b w:val="false"/>
                <w:sz w:val="26"/>
              </w:rPr>
              <w:t>- Nộp hồ sơ, nhận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chứng nhận đủ điều kiện về an ninh, trật tự của cơ sở kinh doanh (Mẫu số 03 tại Phụ lục ban hành kèm theo Nghị định số 56/2023/NĐ-CP).</w:t>
            </w:r>
          </w:p>
        </w:tc>
        <w:tc>
          <w:p/>
          <w:p>
            <w:pPr>
              <w:spacing w:after="0" w:before="0" w:lineRule="auto" w:line="276"/>
              <w:jc w:val="left"/>
            </w:pPr>
            <w:r>
              <w:rPr>
                <w:rFonts w:ascii="Times New Roman" w:hAnsi="Times New Roman" w:cs="Times New Roman" w:eastAsia="Times New Roman"/>
                <w:b w:val="false"/>
                <w:sz w:val="26"/>
              </w:rPr>
              <w:t>Mẫu số 03-KDDK-ND56.docx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một trong các loại văn bản sau đây: a) Giấy chứng nhận đăng ký kinh doanh; Giấy chứng nhận đăng ký doanh nghiệp; Giấy chứng nhận đăng ký đầu tư; Giấy chứng nhận đăng ký hoạt động của chi nhánh, đơn vị trực thuộc doanh nghiệp; Giấy chứng nhận đăng ký hợp tác xã, liên hiệp hợp tác xã; Giấy chứng nhận đăng ký chi nhánh, địa điểm kinh doanh của hợp tác xã, liên hiệp hợp tác xã; Giấy phép hoạt động của cơ quan quản lý nhà nước có thẩm quyền của Việt Nam; Giấy chứng nhận đăng ký hộ kinh doanh; văn bản thành lập hoặc cho phép hoạt động kèm theo văn bản thông báo mã số thuế đối với đơn vị sự nghiệp có thu; b) Trường hợp trong các văn bản quy định tại điểm a trên không thể hiện ngành, nghề đầu tư kinh doanh thì cơ sở kinh doanh phải bổ sung tài liệu chứng minh các ngành, nghề đầu tư kinh doanh mà cơ sở kinh doanh hoạt động và đề nghị ghi trong Giấy chứng nhận đủ điều kiện về an ninh, trật tự đã được cơ quan đăng ký kinh doanh hoặc cơ quan có thẩm quyền chấp thuận (đối với cơ sở kinh doanh là doanh nghiệp thì cơ quan Công an khai thác tài liệu này trên Cổng thông tin quốc gia về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các giấy tờ, tài liệu chứng minh bảo đảm các điều kiện an toàn về phòng cháy và chữa cháy đối với khu vực kinh doanh và kho bảo quản nguyên liệu, hàng hóa, gồm: a) Văn bản chấp thuận kết quả nghiệm thu về phòng cháy và chữa cháy của cơ quan Cảnh sát phòng cháy và chữa cháy đối với dự án, công trình thuộc danh mục quy định tại Phụ lục V ban hành kèm theo Nghị định số 136/2020/NĐ-CP ngày 24 tháng 11 năm 2020 quy định chi tiết một số điều và biện pháp thi hành Luật Phòng cháy và chữa cháy và Luật sửa đổi, bổ sung một số điều của Luật Phòng cháy và chữa cháy (sau đây viết gọn là Nghị định số 136/2020/NĐ-CP); b) Biên bản kiểm tra an toàn về phòng cháy và chữa cháy của cơ quan có thẩm quyền trong quản lý về phòng cháy và chữa cháy đối với các cơ sở kinh doanh không thuộc quy định tại điểm a khoản 3 Điều này nhưng thuộc Danh mục quy định tại Phụ lục I ban hành kèm theo Nghị định số 136/2020/NĐ-CP.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khai lý lịch (Mẫu số 02 tại Phụ lục ban hành kèm theo Nghị định số 56/2023/NĐ-CP) kèm theo Phiếu lý lịch tư pháp hoặc Bản khai nhân sự (Mẫu số 02b tại Phụ lục ban hành kèm theo Nghị định số 96/2016/NĐ-CP) của người chịu trách nhiệm về an ninh, trật tự của cơ sở kinh doanh, cụ thể như sau: a) Đối với người Việt Nam ở trong nước là người chịu trách nhiệm về an ninh, trật tự của cơ sở kinh doanh đứng tên trong Giấy chứng nhận đủ điều kiện về an ninh, trật tự phải có Bản khai lý lịch; Phiếu lý lịch tư pháp (trừ những người đang thuộc biên chế của lực lượng vũ trang); Bản khai lý lịch của những người quy định tại điểm này nếu đang thuộc biên chế của lực lượng vũ trang thì phải có xác nhận của cơ quan có thẩm quyền trực tiếp quản lý (trừ cơ sở kinh doanh).</w:t>
            </w:r>
          </w:p>
        </w:tc>
        <w:tc>
          <w:p/>
          <w:p>
            <w:pPr>
              <w:spacing w:after="0" w:before="0" w:lineRule="auto" w:line="276"/>
              <w:jc w:val="left"/>
            </w:pPr>
            <w:r>
              <w:rPr>
                <w:rFonts w:ascii="Times New Roman" w:hAnsi="Times New Roman" w:cs="Times New Roman" w:eastAsia="Times New Roman"/>
                <w:b w:val="false"/>
                <w:sz w:val="26"/>
              </w:rPr>
              <w:t>Mẫu số 02-Bản khai lý lịch-KDDK-ND56.docx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người Việt Nam định cư ở nước ngoài mang hộ chiếu nước ngoài và người nước ngoài phải có Bản khai nhân sự kèm theo bản sao hợp lệ Hộ chiếu, Thẻ thường trú hoặc Thẻ tạm trú hoặc Thị thực còn thời hạn lưu trú tại Việt Nam;</w:t>
            </w:r>
          </w:p>
        </w:tc>
        <w:tc>
          <w:p/>
          <w:p>
            <w:pPr>
              <w:spacing w:after="0" w:before="0" w:lineRule="auto" w:line="276"/>
              <w:jc w:val="left"/>
            </w:pPr>
            <w:r>
              <w:rPr>
                <w:rFonts w:ascii="Times New Roman" w:hAnsi="Times New Roman" w:cs="Times New Roman" w:eastAsia="Times New Roman"/>
                <w:b w:val="false"/>
                <w:sz w:val="26"/>
              </w:rPr>
              <w:t>Mẫu số 02b-Bản khai nhân sự-KDDK-ND56.docx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một cơ sở kinh doanh có nhiều người đại diện theo pháp luật thì Bản khai lý lịch, Phiếu lý lịch tư pháp hoặc Bản khai nhân sự trong hồ sơ áp dụng đối với người đứng tên trong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về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thuộc lĩnh vực an ninh; phí sát hạch cấp chứng chỉ nghiệp vụ bảo vệ; lệ phí cấp giấy phép quản lý pháo; lệ phí cấp giấy phép quản lý vũ khí, vật liệu nổ, công cụ hỗ trợ</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96/2016/NĐ-CP</w:t>
            </w:r>
          </w:p>
        </w:tc>
        <w:tc>
          <w:p/>
          <w:p>
            <w:pPr>
              <w:spacing w:after="0" w:before="0" w:lineRule="auto" w:line="276"/>
              <w:jc w:val="left"/>
            </w:pPr>
            <w:r>
              <w:rPr>
                <w:rFonts w:ascii="Times New Roman" w:hAnsi="Times New Roman" w:cs="Times New Roman" w:eastAsia="Times New Roman"/>
                <w:b w:val="false"/>
                <w:sz w:val="26"/>
              </w:rPr>
              <w:t>Nghị định 96/2016/NĐ-CP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23/2019/TT-BTC</w:t>
            </w:r>
          </w:p>
        </w:tc>
        <w:tc>
          <w:p/>
          <w:p>
            <w:pPr>
              <w:spacing w:after="0" w:before="0" w:lineRule="auto" w:line="276"/>
              <w:jc w:val="left"/>
            </w:pPr>
            <w:r>
              <w:rPr>
                <w:rFonts w:ascii="Times New Roman" w:hAnsi="Times New Roman" w:cs="Times New Roman" w:eastAsia="Times New Roman"/>
                <w:b w:val="false"/>
                <w:sz w:val="26"/>
              </w:rPr>
              <w:t>Thông tư 23/2019/TT-BTC</w:t>
            </w:r>
          </w:p>
        </w:tc>
        <w:tc>
          <w:p/>
          <w:p>
            <w:pPr>
              <w:spacing w:after="0" w:before="0" w:lineRule="auto" w:line="276"/>
              <w:jc w:val="left"/>
            </w:pPr>
            <w:r>
              <w:rPr>
                <w:rFonts w:ascii="Times New Roman" w:hAnsi="Times New Roman" w:cs="Times New Roman" w:eastAsia="Times New Roman"/>
                <w:b w:val="false"/>
                <w:sz w:val="26"/>
              </w:rPr>
              <w:t>19-04-2019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43/2017/TT-BCA</w:t>
            </w:r>
          </w:p>
        </w:tc>
        <w:tc>
          <w:p/>
          <w:p>
            <w:pPr>
              <w:spacing w:after="0" w:before="0" w:lineRule="auto" w:line="276"/>
              <w:jc w:val="left"/>
            </w:pPr>
            <w:r>
              <w:rPr>
                <w:rFonts w:ascii="Times New Roman" w:hAnsi="Times New Roman" w:cs="Times New Roman" w:eastAsia="Times New Roman"/>
                <w:b w:val="false"/>
                <w:sz w:val="26"/>
              </w:rPr>
              <w:t>Thông tư số 43/2017/TT-BCA ngày 20/10/2017 của Bộ Công an</w:t>
            </w:r>
          </w:p>
        </w:tc>
        <w:tc>
          <w:p/>
          <w:p>
            <w:pPr>
              <w:spacing w:after="0" w:before="0" w:lineRule="auto" w:line="276"/>
              <w:jc w:val="left"/>
            </w:pPr>
            <w:r>
              <w:rPr>
                <w:rFonts w:ascii="Times New Roman" w:hAnsi="Times New Roman" w:cs="Times New Roman" w:eastAsia="Times New Roman"/>
                <w:b w:val="false"/>
                <w:sz w:val="26"/>
              </w:rPr>
              <w:t>20-10-2017</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42/2017/TT-BCA</w:t>
            </w:r>
          </w:p>
        </w:tc>
        <w:tc>
          <w:p/>
          <w:p>
            <w:pPr>
              <w:spacing w:after="0" w:before="0" w:lineRule="auto" w:line="276"/>
              <w:jc w:val="left"/>
            </w:pPr>
            <w:r>
              <w:rPr>
                <w:rFonts w:ascii="Times New Roman" w:hAnsi="Times New Roman" w:cs="Times New Roman" w:eastAsia="Times New Roman"/>
                <w:b w:val="false"/>
                <w:sz w:val="26"/>
              </w:rPr>
              <w:t>Thông tư 42/2017/TT-BCA</w:t>
            </w:r>
          </w:p>
        </w:tc>
        <w:tc>
          <w:p/>
          <w:p>
            <w:pPr>
              <w:spacing w:after="0" w:before="0" w:lineRule="auto" w:line="276"/>
              <w:jc w:val="left"/>
            </w:pPr>
            <w:r>
              <w:rPr>
                <w:rFonts w:ascii="Times New Roman" w:hAnsi="Times New Roman" w:cs="Times New Roman" w:eastAsia="Times New Roman"/>
                <w:b w:val="false"/>
                <w:sz w:val="26"/>
              </w:rPr>
              <w:t>20-10-2017</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Tùy theo từng ngành, nghề đầu tư kinh doanh, cơ sở kinh doanh phải đảm bảo các điều kiện về an ninh, trật tự theo quy định lần lượt tại các Điều 7, 8 Nghị định số 96/2016/NĐ-CP.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2026-05-17T10:50:39Z</dcterms:created>
  <dc:creator>Apache POI</dc:creator>
</cp:coreProperties>
</file>