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1.011819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đăng ký thông tin kết quả nghiên cứu khoa học và phát triển công nghệ được mua bằng ngân sách nhà nước thuộc phạm vi quản lý của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10 ngày kể từ khi kết quả nghiên cứu khoa học và phát triển công nghệ được mua bằng ngân sách nhà nước, tổ chức mua kết quả phải thực hiện đăng ký thông tin kết quả nghiên cứu và phát triển công nghệ tại tổ chức thực hiện chức năng đầu mối thông tin khoa học và công nghệ cấp tỉnh.</w:t>
      </w:r>
    </w:p>
    <w:p>
      <w:pPr>
        <w:spacing w:after="0" w:before="0" w:lineRule="auto" w:line="276"/>
        <w:jc w:val="both"/>
      </w:pPr>
      <w:r>
        <w:rPr>
          <w:rFonts w:ascii="Times New Roman" w:hAnsi="Times New Roman" w:cs="Times New Roman" w:eastAsia="Times New Roman"/>
          <w:b w:val="false"/>
          <w:sz w:val="26"/>
        </w:rPr>
        <w:t>Bước 2. Tổ chức thực hiện chức năng đầu mối thông tin khoa học và công nghệ cấp tỉnh có trách nhiệm tiếp nhận, kiểm tra tính đầy đủ và hợp lệ của hồ sơ theo quy định. Tổ chức thực hiện chức năng đầu mối thông tin khoa học và công nghệ cấp tỉnh có trách nhiệm thông báo bằng văn bản xác nhận việc đăng ký thông tin kết quả nghiên cứu khoa học và phát triển công nghệ được mua bằng ngân sách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 Hồ sơ đăng ký được  nộp trực tiếp hoặc gửi qua đường bưu chính về Tổ chức thực hiện chức năng đầu mối thông tin khoa học và công nghệ cấp tỉnh.
- Hoặc nộp trực tuyến trên Hệ thống thông tin giải quyết thủ tục hành chính của Tổ chức thực hiện chức năng đầu mối thông tin khoa học và công nghệ cấp tỉnh.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 Hồ sơ đăng ký được  nộp trực tiếp hoặc gửi qua đường bưu chính về Tổ chức thực hiện chức năng đầu mối thông tin khoa học và công nghệ cấp tỉnh.
- Hoặc nộp trực tuyến trên Hệ thống thông tin giải quyết thủ tục hành chính của Tổ chức thực hiện chức năng đầu mối thông tin khoa học và công nghệ cấp tỉnh.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 Hồ sơ đăng ký được  nộp trực tiếp hoặc gửi qua đường bưu chính về Tổ chức thực hiện chức năng đầu mối thông tin khoa học và công nghệ cấp tỉnh.
- Hoặc nộp trực tuyến trên Hệ thống thông tin giải quyết thủ tục hành chính của Tổ chức thực hiện chức năng đầu mối thông tin khoa học và công nghệ cấp tỉnh.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Phiếu đăng ký thông tin kết quả nghiên cứu khoa học và phát triển công nghệ được mua bằng ngân sách nhà nước theo Mẫu 7 tại Phụ lục ban hành kèm theo Thông tư số 14/2014/TT-BKHCN.</w:t>
            </w:r>
          </w:p>
        </w:tc>
        <w:tc>
          <w:p/>
          <w:p>
            <w:pPr>
              <w:spacing w:after="0" w:before="0" w:lineRule="auto" w:line="276"/>
              <w:jc w:val="left"/>
            </w:pPr>
            <w:r>
              <w:rPr>
                <w:rFonts w:ascii="Times New Roman" w:hAnsi="Times New Roman" w:cs="Times New Roman" w:eastAsia="Times New Roman"/>
                <w:b w:val="false"/>
                <w:sz w:val="26"/>
              </w:rPr>
              <w:t>Mẫu số 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thực hiện chức năng đầu mối thông tin khoa học và công nghệ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việc đăng ký thông tin kết quả nghiên cứu khoa học và phát triển công nghệ được mua bằng ngân sách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14/2014/TT-BKHCN</w:t>
            </w:r>
          </w:p>
        </w:tc>
        <w:tc>
          <w:p/>
          <w:p>
            <w:pPr>
              <w:spacing w:after="0" w:before="0" w:lineRule="auto" w:line="276"/>
              <w:jc w:val="left"/>
            </w:pPr>
            <w:r>
              <w:rPr>
                <w:rFonts w:ascii="Times New Roman" w:hAnsi="Times New Roman" w:cs="Times New Roman" w:eastAsia="Times New Roman"/>
                <w:b w:val="false"/>
                <w:sz w:val="26"/>
              </w:rPr>
              <w:t>Thông tư số 14/2014/TT-BKHCN ngày 11/6/2014 của Bộ trưởng Bộ Khoa học và Công nghệ Quy định về việc thu thập, đăng ký, lưu giữ và công bố thông tin về nhiệm vụ khoa học và công nghệ</w:t>
            </w:r>
          </w:p>
        </w:tc>
        <w:tc>
          <w:p/>
          <w:p>
            <w:pPr>
              <w:spacing w:after="0" w:before="0" w:lineRule="auto" w:line="276"/>
              <w:jc w:val="left"/>
            </w:pPr>
            <w:r>
              <w:rPr>
                <w:rFonts w:ascii="Times New Roman" w:hAnsi="Times New Roman" w:cs="Times New Roman" w:eastAsia="Times New Roman"/>
                <w:b w:val="false"/>
                <w:sz w:val="26"/>
              </w:rPr>
              <w:t>11-06-2014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11/2014/NĐ-CP</w:t>
            </w:r>
          </w:p>
        </w:tc>
        <w:tc>
          <w:p/>
          <w:p>
            <w:pPr>
              <w:spacing w:after="0" w:before="0" w:lineRule="auto" w:line="276"/>
              <w:jc w:val="left"/>
            </w:pPr>
            <w:r>
              <w:rPr>
                <w:rFonts w:ascii="Times New Roman" w:hAnsi="Times New Roman" w:cs="Times New Roman" w:eastAsia="Times New Roman"/>
                <w:b w:val="false"/>
                <w:sz w:val="26"/>
              </w:rPr>
              <w:t>Nghị định 11/2014/NĐ-CP</w:t>
            </w:r>
          </w:p>
        </w:tc>
        <w:tc>
          <w:p/>
          <w:p>
            <w:pPr>
              <w:spacing w:after="0" w:before="0" w:lineRule="auto" w:line="276"/>
              <w:jc w:val="left"/>
            </w:pPr>
            <w:r>
              <w:rPr>
                <w:rFonts w:ascii="Times New Roman" w:hAnsi="Times New Roman" w:cs="Times New Roman" w:eastAsia="Times New Roman"/>
                <w:b w:val="false"/>
                <w:sz w:val="26"/>
              </w:rPr>
              <w:t>18-02-2014</w:t>
            </w:r>
          </w:p>
        </w:tc>
        <w:tc>
          <w:p/>
        </w:tc>
      </w:tr>
      <w:tr>
        <w:tc>
          <w:p/>
          <w:p>
            <w:pPr>
              <w:spacing w:after="0" w:before="0" w:lineRule="auto" w:line="276"/>
              <w:jc w:val="left"/>
            </w:pPr>
            <w:r>
              <w:rPr>
                <w:rFonts w:ascii="Times New Roman" w:hAnsi="Times New Roman" w:cs="Times New Roman" w:eastAsia="Times New Roman"/>
                <w:b w:val="false"/>
                <w:sz w:val="26"/>
              </w:rPr>
              <w:t>11/2023/TT-BKHCN</w:t>
            </w:r>
          </w:p>
        </w:tc>
        <w:tc>
          <w:p/>
          <w:p>
            <w:pPr>
              <w:spacing w:after="0" w:before="0" w:lineRule="auto" w:line="276"/>
              <w:jc w:val="left"/>
            </w:pPr>
            <w:r>
              <w:rPr>
                <w:rFonts w:ascii="Times New Roman" w:hAnsi="Times New Roman" w:cs="Times New Roman" w:eastAsia="Times New Roman"/>
                <w:b w:val="false"/>
                <w:sz w:val="26"/>
              </w:rPr>
              <w:t>Thông tư số 11/2023/TT-BKHCN ngày 26 tháng 6 năm 2023 của Bộ trưởng Bộ Khoa học và Công nghệ sửa đổi, bổ sung một số điều của Thông tư số 14/2014/TT-BKHCN ngày 11 tháng 6 năm 2014 của Bộ trưởng Bộ Khoa học và Công nghệ quy định thu thập, đăng ký, lưu giữ và công bố thông tin về nhiệm vụ khoa học và công nghệ và Thông tư số 10/2017/TT-BKHCN ngày 28 tháng 6 năm 2017 của Bộ trưởng Bộ Khoa học và Công nghệ quy định về xây dựng, quản lý, khai thác, sử dụng, duy trì và phát triển Cơ sở dữ liệu quốc gia về khoa học và công nghệ.</w:t>
            </w:r>
          </w:p>
        </w:tc>
        <w:tc>
          <w:p/>
          <w:p>
            <w:pPr>
              <w:spacing w:after="0" w:before="0" w:lineRule="auto" w:line="276"/>
              <w:jc w:val="left"/>
            </w:pPr>
            <w:r>
              <w:rPr>
                <w:rFonts w:ascii="Times New Roman" w:hAnsi="Times New Roman" w:cs="Times New Roman" w:eastAsia="Times New Roman"/>
                <w:b w:val="false"/>
                <w:sz w:val="26"/>
              </w:rPr>
              <w:t>26-06-2023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Thủ tục đăng ký thông tin kết quả nghiên cứu khoa học và phát triển công nghệ được mua bằng ngân sách nhà nước thuộc phạm vi quản lý của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2026-05-01T17:41:51Z</dcterms:created>
  <dc:creator>Apache POI</dc:creator>
</cp:coreProperties>
</file>