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1.011828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buôn bán thuốc thú 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Thú 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1. Tiếp nhận hồ sơ.
- Tiếp nhận hồ sơ trực tiếp từ tổ chức/cá nhân hoặc từ bưu điện hoặc qua Cổng dịch vụ công trực tuyến của tỉnh: https://dichvucong.hatinh.gov.vn
2. Công chức TN&amp;TKQ kiểm tra hồ sơ:
- Nếu hồ sơ đầy đủ, hợp lệ thì làm thủ tục tiếp nhận hồ sơ, hẹn trả kết quả cho tổ chức, cá nhân và yêu cầu nộp phí, lệ phí cho Trung tâm (nếu có).
- Nếu hồ sơ chưa đầy đủ hoặc không hợp lệ thì hướng dẫn bổ sung, hoàn thiện hồ sơ. Nếu không bổ sung, hoàn thiện được thì từ chối tiếp nhận hồ sơ.</w:t>
      </w:r>
    </w:p>
    <w:p>
      <w:pPr>
        <w:spacing w:after="0" w:before="0" w:lineRule="auto" w:line="276"/>
        <w:jc w:val="both"/>
      </w:pPr>
      <w:r>
        <w:rPr>
          <w:rFonts w:ascii="Times New Roman" w:hAnsi="Times New Roman" w:cs="Times New Roman" w:eastAsia="Times New Roman"/>
          <w:b w:val="false"/>
          <w:sz w:val="26"/>
        </w:rPr>
        <w:t>Bước 2: Chuyển hồ sơ về phòng Quản lý Thú y (QLTY) thuộc Chi cục Chăn nuôi và Thú y để xử lý.</w:t>
      </w:r>
    </w:p>
    <w:p>
      <w:pPr>
        <w:spacing w:after="0" w:before="0" w:lineRule="auto" w:line="276"/>
        <w:jc w:val="both"/>
      </w:pPr>
      <w:r>
        <w:rPr>
          <w:rFonts w:ascii="Times New Roman" w:hAnsi="Times New Roman" w:cs="Times New Roman" w:eastAsia="Times New Roman"/>
          <w:b w:val="false"/>
          <w:sz w:val="26"/>
        </w:rPr>
        <w:t>Bước 3:Xem xét, xử lý hồ sơ:
- Trường hợp hồ sơ đủ điều kiện: Nếu hồ sơ đủ điều kiện thì tham mưu Đoàn kiểm tra điều kiện của cơ sở buôn bán thuốc thú y.
- Trường hợp hồ sơ không đủ điều kiện: dự thảo Văn bản thông báo hồ sơ không đủ điều kiện giải quyết, trình lãnh đạo phòng xem xét, ký nháy, lãnh đạo Chi cục ký duyệt, văn thư đóng dấu và chuyển Trung tâm Phục vụ hành chính công tỉnh để trả cho tổ chức, cá nhân theo bước B9.</w:t>
      </w:r>
    </w:p>
    <w:p>
      <w:pPr>
        <w:spacing w:after="0" w:before="0" w:lineRule="auto" w:line="276"/>
        <w:jc w:val="both"/>
      </w:pPr>
      <w:r>
        <w:rPr>
          <w:rFonts w:ascii="Times New Roman" w:hAnsi="Times New Roman" w:cs="Times New Roman" w:eastAsia="Times New Roman"/>
          <w:b w:val="false"/>
          <w:sz w:val="26"/>
        </w:rPr>
        <w:t>Bước 4: Tổ chức kiểm tra điều kiện của cơ sở buôn bán thuốc thú y.
Trường hợp do thiên tai hoặc phải áp dụng quy định về phòng, chống dịch bệnh nguy hiểm mà không thể thực hiện kiểm tra, đánh giá trực tiếp tại hiện trường thì thực hiện kiểm tra, đánh giá trực tuyến. Sau khi các địa phương kiểm soát được thiên tai, dịch bệnh theo quy định thì tiếp tục tổ chức thực hiện đánh giá trực tiếp tại hiện trường.</w:t>
      </w:r>
    </w:p>
    <w:p>
      <w:pPr>
        <w:spacing w:after="0" w:before="0" w:lineRule="auto" w:line="276"/>
        <w:jc w:val="both"/>
      </w:pPr>
      <w:r>
        <w:rPr>
          <w:rFonts w:ascii="Times New Roman" w:hAnsi="Times New Roman" w:cs="Times New Roman" w:eastAsia="Times New Roman"/>
          <w:b w:val="false"/>
          <w:sz w:val="26"/>
        </w:rPr>
        <w:t>Bước 5: Sau kiểm tra:
- Trường hợp đạt yêu cầu: dự thảo Giấy chứng nhận đủ điều kiện buôn bán thuốc thú y, trình lãnh đạo phòng xem xét, ký nháy.
- Trường hợp không đạt yêu cầu dự thảo Văn bản thông báo không đủ điều kiện cấp Giấy chứng nhận hoặc dự thảo Văn bản thu hồi Giấy chứng nhận (trường hợp kiểm tra trực tuyến đã được cấp Giấy chứng nhận), trình lãnh đạo phòng xem xét, ký nháy.</w:t>
      </w:r>
    </w:p>
    <w:p>
      <w:pPr>
        <w:spacing w:after="0" w:before="0" w:lineRule="auto" w:line="276"/>
        <w:jc w:val="both"/>
      </w:pPr>
      <w:r>
        <w:rPr>
          <w:rFonts w:ascii="Times New Roman" w:hAnsi="Times New Roman" w:cs="Times New Roman" w:eastAsia="Times New Roman"/>
          <w:b w:val="false"/>
          <w:sz w:val="26"/>
        </w:rPr>
        <w:t>BƯớc 6: Xem xét, ký nháy vào dự thảo kết quả thực hiện tại bước B5</w:t>
      </w:r>
    </w:p>
    <w:p>
      <w:pPr>
        <w:spacing w:after="0" w:before="0" w:lineRule="auto" w:line="276"/>
        <w:jc w:val="both"/>
      </w:pPr>
      <w:r>
        <w:rPr>
          <w:rFonts w:ascii="Times New Roman" w:hAnsi="Times New Roman" w:cs="Times New Roman" w:eastAsia="Times New Roman"/>
          <w:b w:val="false"/>
          <w:sz w:val="26"/>
        </w:rPr>
        <w:t>Bước 7: Phê duyệt kết quả giải quyết thủ tục hành chính của phòng QLTY.</w:t>
      </w:r>
    </w:p>
    <w:p>
      <w:pPr>
        <w:spacing w:after="0" w:before="0" w:lineRule="auto" w:line="276"/>
        <w:jc w:val="both"/>
      </w:pPr>
      <w:r>
        <w:rPr>
          <w:rFonts w:ascii="Times New Roman" w:hAnsi="Times New Roman" w:cs="Times New Roman" w:eastAsia="Times New Roman"/>
          <w:b w:val="false"/>
          <w:sz w:val="26"/>
        </w:rPr>
        <w:t>Bước 8: Phát hành văn bản và chuyển kết quả giải quyết thủ tục hành chính qua Bộ phận tiếp nhận và trả kết quả tại Trung tâm Phục vụ hành chính công tỉnh để trả cho tổ chức/cá nhân.</w:t>
      </w:r>
    </w:p>
    <w:p>
      <w:pPr>
        <w:spacing w:after="0" w:before="0" w:lineRule="auto" w:line="276"/>
        <w:jc w:val="both"/>
      </w:pPr>
      <w:r>
        <w:rPr>
          <w:rFonts w:ascii="Times New Roman" w:hAnsi="Times New Roman" w:cs="Times New Roman" w:eastAsia="Times New Roman"/>
          <w:b w:val="false"/>
          <w:sz w:val="26"/>
        </w:rPr>
        <w:t>Bước 9:  Trả kết quả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t>Phí : 230000 Đồng</w:t>
            </w:r>
          </w:p>
        </w:tc>
        <w:tc>
          <w:p/>
          <w:p>
            <w:pPr>
              <w:spacing w:after="0" w:before="0" w:lineRule="auto" w:line="276"/>
              <w:jc w:val="left"/>
            </w:pPr>
            <w:r>
              <w:rPr>
                <w:rFonts w:ascii="Times New Roman" w:hAnsi="Times New Roman" w:cs="Times New Roman" w:eastAsia="Times New Roman"/>
                <w:b w:val="false"/>
                <w:sz w:val="26"/>
              </w:rPr>
              <w:t>8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t>Phí : 230000 Đồng</w:t>
            </w:r>
          </w:p>
        </w:tc>
        <w:tc>
          <w:p/>
          <w:p>
            <w:pPr>
              <w:spacing w:after="0" w:before="0" w:lineRule="auto" w:line="276"/>
              <w:jc w:val="left"/>
            </w:pPr>
            <w:r>
              <w:rPr>
                <w:rFonts w:ascii="Times New Roman" w:hAnsi="Times New Roman" w:cs="Times New Roman" w:eastAsia="Times New Roman"/>
                <w:b w:val="false"/>
                <w:sz w:val="26"/>
              </w:rPr>
              <w:t>8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w:t>
            </w:r>
          </w:p>
        </w:tc>
        <w:tc>
          <w:p/>
          <w:p>
            <w:pPr>
              <w:spacing w:after="0" w:before="0" w:lineRule="auto" w:line="276"/>
              <w:jc w:val="left"/>
            </w:pPr>
            <w:r>
              <w:rPr>
                <w:rFonts w:ascii="Times New Roman" w:hAnsi="Times New Roman" w:cs="Times New Roman" w:eastAsia="Times New Roman"/>
                <w:b w:val="false"/>
                <w:sz w:val="26"/>
              </w:rPr>
              <w:t>Phí : 230000 Đồng</w:t>
            </w:r>
          </w:p>
        </w:tc>
        <w:tc>
          <w:p/>
          <w:p>
            <w:pPr>
              <w:spacing w:after="0" w:before="0" w:lineRule="auto" w:line="276"/>
              <w:jc w:val="left"/>
            </w:pPr>
            <w:r>
              <w:rPr>
                <w:rFonts w:ascii="Times New Roman" w:hAnsi="Times New Roman" w:cs="Times New Roman" w:eastAsia="Times New Roman"/>
                <w:b w:val="false"/>
                <w:sz w:val="26"/>
              </w:rPr>
              <w:t>8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cấp, gia hạn giấy chứng nhận đủ điều kiện buôn bán, nhập khẩu thuốc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thuyết minh chi tiết về cơ sở vật chất, kỹ thuật buôn bán, nhập khẩu thuốc thú 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doanh nghiệp hoặc Giấy chứng nhận đăng ký kinh doanh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chỉ hành nghề Thú y đối với người quản lý, người trực tiếp buôn bán thuốc thú y (bản chính hoặc bản sao có đóng dấu xác nhận của doanh nghiệp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Chăn nuôi và Thú y - Tỉnh Hà Tĩnh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Phát triển nông thôn - Tỉnh Hà Tĩnh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tiếp hoặc qua đường bưu điện đến Trung tâm Phục vụ hành chính công tỉnh Hà Tĩnh.  Qua Cổng dịch vụ công trực tuyến: http://dichvucong.hatinh.gov.vn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buôn bán thuốc thú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79/2015/QH13</w:t>
            </w:r>
          </w:p>
        </w:tc>
        <w:tc>
          <w:p/>
          <w:p>
            <w:pPr>
              <w:spacing w:after="0" w:before="0" w:lineRule="auto" w:line="276"/>
              <w:jc w:val="left"/>
            </w:pPr>
            <w:r>
              <w:rPr>
                <w:rFonts w:ascii="Times New Roman" w:hAnsi="Times New Roman" w:cs="Times New Roman" w:eastAsia="Times New Roman"/>
                <w:b w:val="false"/>
                <w:sz w:val="26"/>
              </w:rPr>
              <w:t>Luật Thú y</w:t>
            </w:r>
          </w:p>
        </w:tc>
        <w:tc>
          <w:p/>
          <w:p>
            <w:pPr>
              <w:spacing w:after="0" w:before="0" w:lineRule="auto" w:line="276"/>
              <w:jc w:val="left"/>
            </w:pPr>
            <w:r>
              <w:rPr>
                <w:rFonts w:ascii="Times New Roman" w:hAnsi="Times New Roman" w:cs="Times New Roman" w:eastAsia="Times New Roman"/>
                <w:b w:val="false"/>
                <w:sz w:val="26"/>
              </w:rPr>
              <w:t>19-06-2015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13/2016/TT-BNNPTNT</w:t>
            </w:r>
          </w:p>
        </w:tc>
        <w:tc>
          <w:p/>
          <w:p>
            <w:pPr>
              <w:spacing w:after="0" w:before="0" w:lineRule="auto" w:line="276"/>
              <w:jc w:val="left"/>
            </w:pPr>
            <w:r>
              <w:rPr>
                <w:rFonts w:ascii="Times New Roman" w:hAnsi="Times New Roman" w:cs="Times New Roman" w:eastAsia="Times New Roman"/>
                <w:b w:val="false"/>
                <w:sz w:val="26"/>
              </w:rPr>
              <w:t>Quy định về quản lý thuốc thú y</w:t>
            </w:r>
          </w:p>
        </w:tc>
        <w:tc>
          <w:p/>
          <w:p>
            <w:pPr>
              <w:spacing w:after="0" w:before="0" w:lineRule="auto" w:line="276"/>
              <w:jc w:val="left"/>
            </w:pPr>
            <w:r>
              <w:rPr>
                <w:rFonts w:ascii="Times New Roman" w:hAnsi="Times New Roman" w:cs="Times New Roman" w:eastAsia="Times New Roman"/>
                <w:b w:val="false"/>
                <w:sz w:val="26"/>
              </w:rPr>
              <w:t>02-06-2016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101/2020/TT-BTC</w:t>
            </w:r>
          </w:p>
        </w:tc>
        <w:tc>
          <w:p/>
          <w:p>
            <w:pPr>
              <w:spacing w:after="0" w:before="0" w:lineRule="auto" w:line="276"/>
              <w:jc w:val="left"/>
            </w:pPr>
            <w:r>
              <w:rPr>
                <w:rFonts w:ascii="Times New Roman" w:hAnsi="Times New Roman" w:cs="Times New Roman" w:eastAsia="Times New Roman"/>
                <w:b w:val="false"/>
                <w:sz w:val="26"/>
              </w:rPr>
              <w:t>Thông tư 101/2020/TT-BTC</w:t>
            </w:r>
          </w:p>
        </w:tc>
        <w:tc>
          <w:p/>
          <w:p>
            <w:pPr>
              <w:spacing w:after="0" w:before="0" w:lineRule="auto" w:line="276"/>
              <w:jc w:val="left"/>
            </w:pPr>
            <w:r>
              <w:rPr>
                <w:rFonts w:ascii="Times New Roman" w:hAnsi="Times New Roman" w:cs="Times New Roman" w:eastAsia="Times New Roman"/>
                <w:b w:val="false"/>
                <w:sz w:val="26"/>
              </w:rPr>
              <w:t>23-11-2020</w:t>
            </w:r>
          </w:p>
        </w:tc>
        <w:tc>
          <w:p/>
        </w:tc>
      </w:tr>
      <w:tr>
        <w:tc>
          <w:p/>
          <w:p>
            <w:pPr>
              <w:spacing w:after="0" w:before="0" w:lineRule="auto" w:line="276"/>
              <w:jc w:val="left"/>
            </w:pPr>
            <w:r>
              <w:rPr>
                <w:rFonts w:ascii="Times New Roman" w:hAnsi="Times New Roman" w:cs="Times New Roman" w:eastAsia="Times New Roman"/>
                <w:b w:val="false"/>
                <w:sz w:val="26"/>
              </w:rPr>
              <w:t>3279/QĐ-BNN-VP</w:t>
            </w:r>
          </w:p>
        </w:tc>
        <w:tc>
          <w:p/>
          <w:p>
            <w:pPr>
              <w:spacing w:after="0" w:before="0" w:lineRule="auto" w:line="276"/>
              <w:jc w:val="left"/>
            </w:pPr>
            <w:r>
              <w:rPr>
                <w:rFonts w:ascii="Times New Roman" w:hAnsi="Times New Roman" w:cs="Times New Roman" w:eastAsia="Times New Roman"/>
                <w:b w:val="false"/>
                <w:sz w:val="26"/>
              </w:rPr>
              <w:t>Quyết định về việc công bố thủ tục hành chính được sửa đổi, bổ sung mức phí, lệ phí lĩnh vực bảo vệ thực vật, chăn nuôi, trồng trọt, thú y, nông nghiệp, thủy sản, quản lý chất lượng nông lâm sản và thủy sản, lâm nghiệp thuộc phạm vi chức năng quản lý của Bộ Nông nghiệp và Phát triển nông thôn</w:t>
            </w:r>
          </w:p>
        </w:tc>
        <w:tc>
          <w:p/>
          <w:p>
            <w:pPr>
              <w:spacing w:after="0" w:before="0" w:lineRule="auto" w:line="276"/>
              <w:jc w:val="left"/>
            </w:pPr>
            <w:r>
              <w:rPr>
                <w:rFonts w:ascii="Times New Roman" w:hAnsi="Times New Roman" w:cs="Times New Roman" w:eastAsia="Times New Roman"/>
                <w:b w:val="false"/>
                <w:sz w:val="26"/>
              </w:rPr>
              <w:t>22-07-2021</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13/2022/TT-BNNPTNT</w:t>
            </w:r>
          </w:p>
        </w:tc>
        <w:tc>
          <w:p/>
          <w:p>
            <w:pPr>
              <w:spacing w:after="0" w:before="0" w:lineRule="auto" w:line="276"/>
              <w:jc w:val="left"/>
            </w:pPr>
            <w:r>
              <w:rPr>
                <w:rFonts w:ascii="Times New Roman" w:hAnsi="Times New Roman" w:cs="Times New Roman" w:eastAsia="Times New Roman"/>
                <w:b w:val="false"/>
                <w:sz w:val="26"/>
              </w:rPr>
              <w:t>Thông tư 13/2022/TT-BNNPTNT</w:t>
            </w:r>
          </w:p>
        </w:tc>
        <w:tc>
          <w:p/>
          <w:p>
            <w:pPr>
              <w:spacing w:after="0" w:before="0" w:lineRule="auto" w:line="276"/>
              <w:jc w:val="left"/>
            </w:pPr>
            <w:r>
              <w:rPr>
                <w:rFonts w:ascii="Times New Roman" w:hAnsi="Times New Roman" w:cs="Times New Roman" w:eastAsia="Times New Roman"/>
                <w:b w:val="false"/>
                <w:sz w:val="26"/>
              </w:rPr>
              <w:t>28-09-2022</w:t>
            </w:r>
          </w:p>
        </w:tc>
        <w:tc>
          <w:p/>
        </w:tc>
      </w:tr>
      <w:tr>
        <w:tc>
          <w:p/>
          <w:p>
            <w:pPr>
              <w:spacing w:after="0" w:before="0" w:lineRule="auto" w:line="276"/>
              <w:jc w:val="left"/>
            </w:pPr>
            <w:r>
              <w:rPr>
                <w:rFonts w:ascii="Times New Roman" w:hAnsi="Times New Roman" w:cs="Times New Roman" w:eastAsia="Times New Roman"/>
                <w:b w:val="false"/>
                <w:sz w:val="26"/>
              </w:rPr>
              <w:t>35/2016/NĐ-CP</w:t>
            </w:r>
          </w:p>
        </w:tc>
        <w:tc>
          <w:p/>
          <w:p>
            <w:pPr>
              <w:spacing w:after="0" w:before="0" w:lineRule="auto" w:line="276"/>
              <w:jc w:val="left"/>
            </w:pPr>
            <w:r>
              <w:rPr>
                <w:rFonts w:ascii="Times New Roman" w:hAnsi="Times New Roman" w:cs="Times New Roman" w:eastAsia="Times New Roman"/>
                <w:b w:val="false"/>
                <w:sz w:val="26"/>
              </w:rPr>
              <w:t>Nghị định 35/2016/NĐ-CP</w:t>
            </w:r>
          </w:p>
        </w:tc>
        <w:tc>
          <w:p/>
          <w:p>
            <w:pPr>
              <w:spacing w:after="0" w:before="0" w:lineRule="auto" w:line="276"/>
              <w:jc w:val="left"/>
            </w:pPr>
            <w:r>
              <w:rPr>
                <w:rFonts w:ascii="Times New Roman" w:hAnsi="Times New Roman" w:cs="Times New Roman" w:eastAsia="Times New Roman"/>
                <w:b w:val="false"/>
                <w:sz w:val="26"/>
              </w:rPr>
              <w:t>16-05-2016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Giấy chứng nhận đăng ký kinh doanh hoặc Giấy chứng nhận đăng ký doanh nghiệp;
- Có địa điểm, cơ sở vật chất, kỹ thuật phù hợp;
- Người quản lý, người trực tiếp bán thuốc thú y phải có Chứng chỉ hành nghề thú y;
- Có đủ quầy, tủ, giá kệ để chứa, đựng và trưng bày sản phẩm phải đảm bảo chắc chắn, dễ vệ sinh và tránh được những tác động bất lợi của ánh sáng, nhiệt độ, độ ẩm, nấm mốc, động vật gặm nhấm và côn trùng gây hại;
- Có trang thiết bị để bảo đảm điều kiện bảo quản ghi trên nhãn của sản phẩm; có nhiệt kế, ẩm kế theo dõi điều kiện bảo quản sản phẩm. Đối với cơ sở buôn bán vắc xin, chế phẩm sinh học phải có tủ lạnh, tủ mát hoặc kho lạnh; có nhiệt kế để kiểm tra điều kiện bảo quản; có máy phát điện dự phòng, vật dụng, phương tiện vận chuyển phân phối vắc xin bảo đảm điều kiện bảo quản ghi trên nhãn sản phẩm.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2026-05-14T16:37:33Z</dcterms:created>
  <dc:creator>Apache POI</dc:creator>
</cp:coreProperties>
</file>