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1.011845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1983/QĐ-BYT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bổ sung giấy đăng ký lưu hành thuốc gia công, thuốc chuyển giao công nghệ - Thuộc thay đổi lớn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nộp 01 bộ hồ sơ đề nghị thay đổi, bổ sung giấy đăng ký lưu hành (hồ sơ đăng ký) theo quy định tại Điều 15 Thông tư số 16/2023/TT-BYT ngày 15 tháng 8 năm 2023 đến Cục Quản Dược - Bộ Y tế (cơ quan tiếp nhận).</w:t>
      </w:r>
    </w:p>
    <w:p>
      <w:pPr>
        <w:spacing w:after="0" w:before="0" w:lineRule="auto" w:line="276"/>
        <w:jc w:val="both"/>
      </w:pPr>
      <w:r>
        <w:rPr>
          <w:rFonts w:ascii="Times New Roman" w:hAnsi="Times New Roman" w:cs="Times New Roman" w:eastAsia="Times New Roman"/>
          <w:b w:val="false"/>
          <w:sz w:val="26"/>
        </w:rPr>
        <w:t>Bước 2: Khi nhận được hồ sơ đăng ký đủ thành phần, đạt yêu cầu về hình thức, đủ phí, Cục Quản lý Dược - Bộ Y tế cấp cho cơ sở đăng ký Phiếu tiếp nhận hồ sơ theo Mẫu số 09/TT ban hành kèm theo Thông tư số 08/2022/TT-BYT ngày 05/9/2022.</w:t>
      </w:r>
    </w:p>
    <w:p>
      <w:pPr>
        <w:spacing w:after="0" w:before="0" w:lineRule="auto" w:line="276"/>
        <w:jc w:val="both"/>
      </w:pPr>
      <w:r>
        <w:rPr>
          <w:rFonts w:ascii="Times New Roman" w:hAnsi="Times New Roman" w:cs="Times New Roman" w:eastAsia="Times New Roman"/>
          <w:b w:val="false"/>
          <w:sz w:val="26"/>
        </w:rPr>
        <w:t>Bước 3: Trong thời hạn 03 tháng kể từ ngày ghi trên phiếu tiếp nhận hồ sơ, Cục Quản lý Dược - Bộ Y tế có trách nhiệm:
a) Tổ chức thẩm định hồ sơ đăng ký;
b) Trình Hội đồng tư vấn cấp giấy đăng ký lưu hành thuốc, nguyên liệu làm thuốc.
c) Phê duyệt nội dung thay đổi.</w:t>
      </w:r>
    </w:p>
    <w:p>
      <w:pPr>
        <w:spacing w:after="0" w:before="0" w:lineRule="auto" w:line="276"/>
        <w:jc w:val="both"/>
      </w:pPr>
      <w:r>
        <w:rPr>
          <w:rFonts w:ascii="Times New Roman" w:hAnsi="Times New Roman" w:cs="Times New Roman" w:eastAsia="Times New Roman"/>
          <w:b w:val="false"/>
          <w:sz w:val="26"/>
        </w:rPr>
        <w:t>Bước 4:	
- Trường hợp hồ sơ chưa đạt yêu cầu, trong thời hạn xem xét hồ sơ đăng ký Cục Quản Dược - Bộ Y tế phải có văn bản trả lời nêu rõ lý do.
- Thời gian cơ sở đăng ký sửa đổi, bổ sung hồ sơ:
+ Không quá 36 tháng đối với trường hợp phải bổ sung tài liệu tiền lâm sàng, lâm sàng, tương đương sinh học, nghiên cứu độ ổn định kể từ ngày có văn bản của Cục Quản Dược - Bộ Y tế.
+ Không quá 12 tháng kể từ ngày có văn bản của Cục Quản Dược - Bộ Y tế đối với các trường hợp còn lại.
Thời gian cơ sở đăng ký sửa đổi, bổ sung hồ sơ không tính vào thời hạn xem xét hồ sơ. Nếu quá thời hạn trên, hồ sơ đăng ký không còn giá trị và cơ sở phải thực hiện lại thủ tục đăng ký.
- Trường hợp không phê duyệt, Cục Quản lý Dược - Bộ Y tế phải trả lời bằng văn bản và nêu rõ lý do.</w:t>
      </w:r>
    </w:p>
    <w:p>
      <w:pPr>
        <w:spacing w:after="0" w:before="0" w:lineRule="auto" w:line="276"/>
        <w:jc w:val="both"/>
      </w:pPr>
      <w:r>
        <w:rPr>
          <w:rFonts w:ascii="Times New Roman" w:hAnsi="Times New Roman" w:cs="Times New Roman" w:eastAsia="Times New Roman"/>
          <w:b w:val="false"/>
          <w:sz w:val="26"/>
        </w:rPr>
        <w:t>Bước 5: Hồ sơ bổ sung được nộp đến Cục Quản lý Dược, trình tự giải quyết thực hiện từ Bước 1. Trong thời hạn 02 tháng kể từ ngày nhận đủ tài liệu bổ sung, Cục Quản lý Dược phê duyệt thay đổi, bổ sung giấy đăng ký lưu hành đối với hồ sơ đạt yêu cầu; có văn bản trả lời đối với hồ sơ thẩm định chưa đạt, không đạt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Tháng</w:t>
            </w:r>
          </w:p>
        </w:tc>
        <w:tc>
          <w:p/>
          <w:p>
            <w:pPr>
              <w:spacing w:after="0" w:before="0" w:lineRule="auto" w:line="276"/>
              <w:jc w:val="left"/>
            </w:pPr>
            <w:r>
              <w:rPr>
                <w:rFonts w:ascii="Times New Roman" w:hAnsi="Times New Roman" w:cs="Times New Roman" w:eastAsia="Times New Roman"/>
                <w:b w:val="false"/>
                <w:sz w:val="26"/>
              </w:rPr>
              <w:t>Phí : 1.500.000 (VNĐ) Đồng</w:t>
            </w:r>
          </w:p>
        </w:tc>
        <w:tc>
          <w:p/>
          <w:p>
            <w:pPr>
              <w:spacing w:after="0" w:before="0" w:lineRule="auto" w:line="276"/>
              <w:jc w:val="left"/>
            </w:pPr>
            <w:r>
              <w:rPr>
                <w:rFonts w:ascii="Times New Roman" w:hAnsi="Times New Roman" w:cs="Times New Roman" w:eastAsia="Times New Roman"/>
                <w:b w:val="false"/>
                <w:sz w:val="26"/>
              </w:rPr>
              <w:t>03 tháng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Tháng</w:t>
            </w:r>
          </w:p>
        </w:tc>
        <w:tc>
          <w:p/>
          <w:p>
            <w:pPr>
              <w:spacing w:after="0" w:before="0" w:lineRule="auto" w:line="276"/>
              <w:jc w:val="left"/>
            </w:pPr>
            <w:r>
              <w:rPr>
                <w:rFonts w:ascii="Times New Roman" w:hAnsi="Times New Roman" w:cs="Times New Roman" w:eastAsia="Times New Roman"/>
                <w:b w:val="false"/>
                <w:sz w:val="26"/>
              </w:rPr>
              <w:t>Phí : 1.500.000 (VNĐ) Đồng</w:t>
            </w:r>
          </w:p>
        </w:tc>
        <w:tc>
          <w:p/>
          <w:p>
            <w:pPr>
              <w:spacing w:after="0" w:before="0" w:lineRule="auto" w:line="276"/>
              <w:jc w:val="left"/>
            </w:pPr>
            <w:r>
              <w:rPr>
                <w:rFonts w:ascii="Times New Roman" w:hAnsi="Times New Roman" w:cs="Times New Roman" w:eastAsia="Times New Roman"/>
                <w:b w:val="false"/>
                <w:sz w:val="26"/>
              </w:rPr>
              <w:t>03 tháng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Tháng</w:t>
            </w:r>
          </w:p>
        </w:tc>
        <w:tc>
          <w:p/>
          <w:p>
            <w:pPr>
              <w:spacing w:after="0" w:before="0" w:lineRule="auto" w:line="276"/>
              <w:jc w:val="left"/>
            </w:pPr>
            <w:r>
              <w:rPr>
                <w:rFonts w:ascii="Times New Roman" w:hAnsi="Times New Roman" w:cs="Times New Roman" w:eastAsia="Times New Roman"/>
                <w:b w:val="false"/>
                <w:sz w:val="26"/>
              </w:rPr>
              <w:t>Phí : 1.500.000 (VNĐ) Đồng</w:t>
            </w:r>
          </w:p>
        </w:tc>
        <w:tc>
          <w:p/>
          <w:p>
            <w:pPr>
              <w:spacing w:after="0" w:before="0" w:lineRule="auto" w:line="276"/>
              <w:jc w:val="left"/>
            </w:pPr>
            <w:r>
              <w:rPr>
                <w:rFonts w:ascii="Times New Roman" w:hAnsi="Times New Roman" w:cs="Times New Roman" w:eastAsia="Times New Roman"/>
                <w:b w:val="false"/>
                <w:sz w:val="26"/>
              </w:rPr>
              <w:t>03 tháng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thay đổi, bổ sung theo Mẫu 02C/TT – Phụ lục 1 ban hành kèm theo Thông tư này.</w:t>
            </w:r>
          </w:p>
        </w:tc>
        <w:tc>
          <w:p/>
          <w:p>
            <w:pPr>
              <w:spacing w:after="0" w:before="0" w:lineRule="auto" w:line="276"/>
              <w:jc w:val="left"/>
            </w:pPr>
            <w:r>
              <w:rPr>
                <w:rFonts w:ascii="Times New Roman" w:hAnsi="Times New Roman" w:cs="Times New Roman" w:eastAsia="Times New Roman"/>
                <w:b w:val="false"/>
                <w:sz w:val="26"/>
              </w:rPr>
              <w:t>MẪU 02C.docx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Bằng chứng về việc các nội dung thay đổi liên quan đến hồ sơ kỹ thuật đối với thuốc đặt gia công hoặc thuốc trước chuyển giao công nghệ đã được phê duyệt bởi cơ quan quản lý có thẩm quyền trong trường hợp đề nghị thay đổi, bổ sung liên quan đến hồ sơ kỹ thuật của thuốc gia công, thuốc chuyển giao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Các tài liệu tương ứng với các nội dung thay đổi lớn quy định tại Phụ lục II ban hành kèm Thông tư số 08/2022/TT-BYT.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Dược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đồng ý/không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w:t>
            </w:r>
          </w:p>
        </w:tc>
        <w:tc>
          <w:p/>
          <w:p>
            <w:pPr>
              <w:spacing w:after="0" w:before="0" w:lineRule="auto" w:line="276"/>
              <w:jc w:val="left"/>
            </w:pPr>
            <w:r>
              <w:rPr>
                <w:rFonts w:ascii="Times New Roman" w:hAnsi="Times New Roman" w:cs="Times New Roman" w:eastAsia="Times New Roman"/>
                <w:b w:val="false"/>
                <w:sz w:val="26"/>
              </w:rPr>
              <w:t>08-05-2017</w:t>
            </w:r>
          </w:p>
        </w:tc>
        <w:tc>
          <w:p/>
        </w:tc>
      </w:tr>
      <w:tr>
        <w:tc>
          <w:p/>
          <w:p>
            <w:pPr>
              <w:spacing w:after="0" w:before="0" w:lineRule="auto" w:line="276"/>
              <w:jc w:val="left"/>
            </w:pPr>
            <w:r>
              <w:rPr>
                <w:rFonts w:ascii="Times New Roman" w:hAnsi="Times New Roman" w:cs="Times New Roman" w:eastAsia="Times New Roman"/>
                <w:b w:val="false"/>
                <w:sz w:val="26"/>
              </w:rPr>
              <w:t>01/2018/TT-BYT</w:t>
            </w:r>
          </w:p>
        </w:tc>
        <w:tc>
          <w:p/>
          <w:p>
            <w:pPr>
              <w:spacing w:after="0" w:before="0" w:lineRule="auto" w:line="276"/>
              <w:jc w:val="left"/>
            </w:pPr>
            <w:r>
              <w:rPr>
                <w:rFonts w:ascii="Times New Roman" w:hAnsi="Times New Roman" w:cs="Times New Roman" w:eastAsia="Times New Roman"/>
                <w:b w:val="false"/>
                <w:sz w:val="26"/>
              </w:rPr>
              <w:t>Thông tư 01/2018/TT-BYT</w:t>
            </w:r>
          </w:p>
        </w:tc>
        <w:tc>
          <w:p/>
          <w:p>
            <w:pPr>
              <w:spacing w:after="0" w:before="0" w:lineRule="auto" w:line="276"/>
              <w:jc w:val="left"/>
            </w:pPr>
            <w:r>
              <w:rPr>
                <w:rFonts w:ascii="Times New Roman" w:hAnsi="Times New Roman" w:cs="Times New Roman" w:eastAsia="Times New Roman"/>
                <w:b w:val="false"/>
                <w:sz w:val="26"/>
              </w:rPr>
              <w:t>18-01-2018</w:t>
            </w:r>
          </w:p>
        </w:tc>
        <w:tc>
          <w:p/>
        </w:tc>
      </w:tr>
      <w:tr>
        <w:tc>
          <w:p/>
          <w:p>
            <w:pPr>
              <w:spacing w:after="0" w:before="0" w:lineRule="auto" w:line="276"/>
              <w:jc w:val="left"/>
            </w:pPr>
            <w:r>
              <w:rPr>
                <w:rFonts w:ascii="Times New Roman" w:hAnsi="Times New Roman" w:cs="Times New Roman" w:eastAsia="Times New Roman"/>
                <w:b w:val="false"/>
                <w:sz w:val="26"/>
              </w:rPr>
              <w:t>06/2017/TT-BYT</w:t>
            </w:r>
          </w:p>
        </w:tc>
        <w:tc>
          <w:p/>
          <w:p>
            <w:pPr>
              <w:spacing w:after="0" w:before="0" w:lineRule="auto" w:line="276"/>
              <w:jc w:val="left"/>
            </w:pPr>
            <w:r>
              <w:rPr>
                <w:rFonts w:ascii="Times New Roman" w:hAnsi="Times New Roman" w:cs="Times New Roman" w:eastAsia="Times New Roman"/>
                <w:b w:val="false"/>
                <w:sz w:val="26"/>
              </w:rPr>
              <w:t>Thông tư 06/2017/TT-BYT</w:t>
            </w:r>
          </w:p>
        </w:tc>
        <w:tc>
          <w:p/>
          <w:p>
            <w:pPr>
              <w:spacing w:after="0" w:before="0" w:lineRule="auto" w:line="276"/>
              <w:jc w:val="left"/>
            </w:pPr>
            <w:r>
              <w:rPr>
                <w:rFonts w:ascii="Times New Roman" w:hAnsi="Times New Roman" w:cs="Times New Roman" w:eastAsia="Times New Roman"/>
                <w:b w:val="false"/>
                <w:sz w:val="26"/>
              </w:rPr>
              <w:t>03-05-2017</w:t>
            </w:r>
          </w:p>
        </w:tc>
        <w:tc>
          <w:p/>
        </w:tc>
      </w:tr>
      <w:tr>
        <w:tc>
          <w:p/>
          <w:p>
            <w:pPr>
              <w:spacing w:after="0" w:before="0" w:lineRule="auto" w:line="276"/>
              <w:jc w:val="left"/>
            </w:pPr>
            <w:r>
              <w:rPr>
                <w:rFonts w:ascii="Times New Roman" w:hAnsi="Times New Roman" w:cs="Times New Roman" w:eastAsia="Times New Roman"/>
                <w:b w:val="false"/>
                <w:sz w:val="26"/>
              </w:rPr>
              <w:t>07/2017/TT-BYT</w:t>
            </w:r>
          </w:p>
        </w:tc>
        <w:tc>
          <w:p/>
          <w:p>
            <w:pPr>
              <w:spacing w:after="0" w:before="0" w:lineRule="auto" w:line="276"/>
              <w:jc w:val="left"/>
            </w:pPr>
            <w:r>
              <w:rPr>
                <w:rFonts w:ascii="Times New Roman" w:hAnsi="Times New Roman" w:cs="Times New Roman" w:eastAsia="Times New Roman"/>
                <w:b w:val="false"/>
                <w:sz w:val="26"/>
              </w:rPr>
              <w:t>Thông tư 07/2017/TT-BYT</w:t>
            </w:r>
          </w:p>
        </w:tc>
        <w:tc>
          <w:p/>
          <w:p>
            <w:pPr>
              <w:spacing w:after="0" w:before="0" w:lineRule="auto" w:line="276"/>
              <w:jc w:val="left"/>
            </w:pPr>
            <w:r>
              <w:rPr>
                <w:rFonts w:ascii="Times New Roman" w:hAnsi="Times New Roman" w:cs="Times New Roman" w:eastAsia="Times New Roman"/>
                <w:b w:val="false"/>
                <w:sz w:val="26"/>
              </w:rPr>
              <w:t>03-05-2017</w:t>
            </w:r>
          </w:p>
        </w:tc>
        <w:tc>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2026-05-11T17:02:06Z</dcterms:created>
  <dc:creator>Apache POI</dc:creator>
</cp:coreProperties>
</file>