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và phê duyệt danh mục kỹ thuật đối với Phòng khám đa khoa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Sau khi nhận được hồ sơ đề nghị cấp giấy phép hoạt động và phê duyệt danh mục kỹ thuật của phòng khám đa khoa thuộc thẩm quyền quản lý, Sở Y tế (sau đây gọi tắt là cơ quan tiếp nhận hồ sơ) thực hiện như sau:</w:t>
      </w:r>
    </w:p>
    <w:p>
      <w:pPr>
        <w:spacing w:after="0" w:before="0" w:lineRule="auto" w:line="276"/>
        <w:jc w:val="both"/>
      </w:pPr>
      <w:r>
        <w:rPr>
          <w:rFonts w:ascii="Times New Roman" w:hAnsi="Times New Roman" w:cs="Times New Roman" w:eastAsia="Times New Roman"/>
          <w:b w:val="false"/>
          <w:sz w:val="26"/>
        </w:rPr>
        <w:t>Bước 1:
- Trường hợp cơ sở nộp hồ sơ trực tiếp tại cơ quan tiếp nhận hồ sơ thì sau khi tiếp nhận hồ sơ, cơ quan tiếp nhận gửi ngay cho cơ sở Phiếu tiếp nhận hồ sơ theo quy định tại Mẫu 09 Phụ lục XI ban hành kèm theo Nghị định 109/2016/NĐ-CP;
- Trường hợp hồ sơ gửi qua đường bưu điện thì trong thời hạn 03 ngày, tính từ thời điểm nhận được hồ sơ (tính theo dấu bưu điện đến), cơ quan tiếp nhận gửi cho cơ sở đề nghị cấp giấy phép hoạt động Phiếu tiếp nhận hồ sơ theo quy định tại Mẫu 09 Phụ lục XI ban hành kèm theo Nghị định 109/2016/NĐ-CP.
- Trường hợp tiếp nhận qua Cổng Dịch vụ công trực tuyến: Kiểm tra tính chính xác, đầy đủ, hợp lệ của hồ sơ; kiểm tra thông tin chữ ký số để đảm bảo tính xác thực, hợp lệ (nếu có). Sau khi kiểm tra, nếu bảo đảm các điều kiện để tiếp nhận, công chức Một cửa tiếp nhận, cấp mã hồ sơ và xử lý hồ sơ theo quy trình.
Bước 2:
- Đối với  hồ sơ hợp lệ, cơ quan tiếp nhận hồ sơ phải xem xét thẩm định hồ sơ, thẩm định thực tế tại cơ sở và thẩm định danh mục kỹ thuật để cấp giấy phép hoạt động và phê duyệt danh mục kỹ thuật trong thời hạn 45 ngày (tương đương 33 ngày làm việc) kể từ ngày ghi trên Phiếu tiếp nhận hồ sơ. Trường hợp không cấp giấy phép hoạt động và phê duyệt danh mục kỹ thuật thì phải có văn bản trả lời và nêu rõ lý do.
- Trường hợp hồ sơ đề nghị cấp giấy phép hoạt động và phê duyệt danh mục kỹ thuật chưa hợp lệ thì thực hiện như sau:
 + Trong thời hạn 10 ngày làm việc, kể từ ngày ghi trên Phiếu tiếp nhận hồ sơ, thì cơ quan tiếp nhận hồ sơ phải có văn bản thông báo cho cơ sở đề nghị cấp giấy phép hoạt động để hoàn chỉnh hồ sơ. 
+ Sau 60 ngày, kể từ ngày cơ quan tiếp nhận hồ sơ có văn bản yêu cầu mà cơ sở đề nghị cấp giấy phép hoạt động và phê duyệt danh mục kỹ thuật không bổ sung, sửa đổi, hoặc bổ sung, sửa đổi hồ sơ nhưng không đạt yêu cầu thì phải thực hiện lại từ đầu thủ tục hành chính.
+ Sau 10 ngày làm việc, kể từ ngày nhận được hồ sơ bổ sung, nếu cơ quan tiếp nhận hồ sơ không có văn bản yêu cầu sửa đổi, bổ sung thì phải tiến hành thẩm định thực tế cơ sở và thẩm định phê duyệt danh mục kỹ thuật để cấp giấy phép hoạt động và danh mục kỹ thuật trong thời gian quy định 45 ngày (tương đương 33 ngày làm việc). Nếu không cấp giấy phép hoạt động và phê duyệt danh mục kỹ thuật thì phải có văn bản trả lời và nêu rõ lý do.
Bước 3:
- Trả kết quả giải quyết thủ tục hành chính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5700000 Đồng</w:t>
            </w:r>
          </w:p>
        </w:tc>
        <w:tc>
          <w:p/>
          <w:p>
            <w:pPr>
              <w:spacing w:after="0" w:before="0" w:lineRule="auto" w:line="276"/>
              <w:jc w:val="left"/>
            </w:pPr>
            <w:r>
              <w:rPr>
                <w:rFonts w:ascii="Times New Roman" w:hAnsi="Times New Roman" w:cs="Times New Roman" w:eastAsia="Times New Roman"/>
                <w:b w:val="false"/>
                <w:sz w:val="26"/>
              </w:rPr>
              <w:t>33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5700000 Đồng</w:t>
            </w:r>
          </w:p>
        </w:tc>
        <w:tc>
          <w:p/>
          <w:p>
            <w:pPr>
              <w:spacing w:after="0" w:before="0" w:lineRule="auto" w:line="276"/>
              <w:jc w:val="left"/>
            </w:pPr>
            <w:r>
              <w:rPr>
                <w:rFonts w:ascii="Times New Roman" w:hAnsi="Times New Roman" w:cs="Times New Roman" w:eastAsia="Times New Roman"/>
                <w:b w:val="false"/>
                <w:sz w:val="26"/>
              </w:rPr>
              <w:t>33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Đơn đề nghị cấp giấy phép hoạt động theo Mẫu 01 Phụ lục XI ban hành kèm theo Nghị định 109/2016/NĐ-CP ngày 01/07/2016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 ngày 01/07/2016</w:t>
            </w:r>
          </w:p>
        </w:tc>
        <w:tc>
          <w:p/>
          <w:p>
            <w:pPr>
              <w:spacing w:after="0" w:before="0" w:lineRule="auto" w:line="276"/>
              <w:jc w:val="left"/>
            </w:pPr>
            <w:r>
              <w:rPr>
                <w:rFonts w:ascii="Times New Roman" w:hAnsi="Times New Roman" w:cs="Times New Roman" w:eastAsia="Times New Roman"/>
                <w:b w:val="false"/>
                <w:sz w:val="26"/>
              </w:rPr>
              <w:t>Mẫu 01-QT2.docx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 ngày 01/07/2016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 ngày 01/07/2016</w:t>
            </w:r>
          </w:p>
        </w:tc>
        <w:tc>
          <w:p/>
          <w:p>
            <w:pPr>
              <w:spacing w:after="0" w:before="0" w:lineRule="auto" w:line="276"/>
              <w:jc w:val="left"/>
            </w:pPr>
            <w:r>
              <w:rPr>
                <w:rFonts w:ascii="Times New Roman" w:hAnsi="Times New Roman" w:cs="Times New Roman" w:eastAsia="Times New Roman"/>
                <w:b w:val="false"/>
                <w:sz w:val="26"/>
              </w:rPr>
              <w:t>Mẫu 02-QT2.docx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ngày 01/07/2016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thí điểm kỹ thuật mới, phương pháp mới theo mẫu quy định Thông tư số 07/2015/TT-BYT.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tính hợp pháp, bằng chứng lâm sàng, tính hiệu quả trong khám bệnh, chữa bệnh của kỹ thuật mới, phương pháp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thực hợp đồng chuyển giao kỹ thuật mới, phương pháp mới (trong trường hợp nhận chuyển giao từ cơ quan, tổ chức, cá nhân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Đề án triển khai áp dụng kỹ thuật mới, phương pháp mới: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hoạt động khám bệnh, chữa bệnh (áp dụng đối với cơ sở đã có 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thẩm định cấp giấy phép hoạt động đối với cơ sở khám bệnh, chữa bệnh (áp dụng đối với bệnh viện tư nhân, phòng khám đa khoa, chuyên khoa đã có 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thành lập Hội đồng Khoa học và công nghệ của đơn vị và biên bản họp Hội đồng Khoa học và công nghệ về việc xây dựng kỹ thuật mới để trình Sở Y tế có thẩm quyền phê duyệt (áp dụng đối với bệnh viện hoặc trung tâm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phụ lục 1,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người thực hiện kỹ thuật là nhân sự của cơ sở khám bệnh, chữa bệnh (văn bản phân công, bổ nhiệm nhân sự hoặc hợp đồng làm việc hoặc biên bản thẩm định cấp phép của Sở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trình kỹ thuật dự kiến thực hiện và ghi rõ nguồn tài liệu tham khảo. •	Nếu cơ sở khám bệnh, chữa bệnh là bệnh viện, cơ sở khám bệnh, chữa bệnh thuộc Công ty thì quy trình kỹ thuật phải do người chịu trách nhiệm chuyên môn kỹ thuật ký xác nhận và có quyết định ban hành quy trình kỹ thuật Nếu cơ sở khám bệnh, chữa bệnh là phòng khám chuyên khoa hộ gia đình thì quy trình kỹ thuật phải do người chịu trách nhiệm chuyên môn kỹ thuật ký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giá dịch vụ dự kiến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Hệ thống thông tin giải quyết TTHC: https://dichvucong.hochiminhcity.gov.vn; Bộ phận Một cửa của Sở Y tế TP. HCM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 Quyết định phê duyệt danh mục kỹ thuật trong khám, chữa bệnh, Văn bản từ chối giải quyết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w:t>
            </w:r>
          </w:p>
        </w:tc>
        <w:tc>
          <w:p/>
          <w:p>
            <w:pPr>
              <w:spacing w:after="0" w:before="0" w:lineRule="auto" w:line="276"/>
              <w:jc w:val="left"/>
            </w:pPr>
            <w:r>
              <w:rPr>
                <w:rFonts w:ascii="Times New Roman" w:hAnsi="Times New Roman" w:cs="Times New Roman" w:eastAsia="Times New Roman"/>
                <w:b w:val="false"/>
                <w:sz w:val="26"/>
              </w:rPr>
              <w:t>27-09-2011</w:t>
            </w:r>
          </w:p>
        </w:tc>
        <w:tc>
          <w:p/>
        </w:tc>
      </w:tr>
      <w:tr>
        <w:tc>
          <w:p/>
          <w:p>
            <w:pPr>
              <w:spacing w:after="0" w:before="0" w:lineRule="auto" w:line="276"/>
              <w:jc w:val="left"/>
            </w:pPr>
            <w:r>
              <w:rPr>
                <w:rFonts w:ascii="Times New Roman" w:hAnsi="Times New Roman" w:cs="Times New Roman" w:eastAsia="Times New Roman"/>
                <w:b w:val="false"/>
                <w:sz w:val="26"/>
              </w:rPr>
              <w:t>11/2020/TT-BTC</w:t>
            </w:r>
          </w:p>
        </w:tc>
        <w:tc>
          <w:p/>
          <w:p>
            <w:pPr>
              <w:spacing w:after="0" w:before="0" w:lineRule="auto" w:line="276"/>
              <w:jc w:val="left"/>
            </w:pPr>
            <w:r>
              <w:rPr>
                <w:rFonts w:ascii="Times New Roman" w:hAnsi="Times New Roman" w:cs="Times New Roman" w:eastAsia="Times New Roman"/>
                <w:b w:val="false"/>
                <w:sz w:val="26"/>
              </w:rPr>
              <w:t>Thông tư 11/2020/TT-BTC</w:t>
            </w:r>
          </w:p>
        </w:tc>
        <w:tc>
          <w:p/>
          <w:p>
            <w:pPr>
              <w:spacing w:after="0" w:before="0" w:lineRule="auto" w:line="276"/>
              <w:jc w:val="left"/>
            </w:pPr>
            <w:r>
              <w:rPr>
                <w:rFonts w:ascii="Times New Roman" w:hAnsi="Times New Roman" w:cs="Times New Roman" w:eastAsia="Times New Roman"/>
                <w:b w:val="false"/>
                <w:sz w:val="26"/>
              </w:rPr>
              <w:t>20-02-2020</w:t>
            </w:r>
          </w:p>
        </w:tc>
        <w:tc>
          <w:p/>
        </w:tc>
      </w:tr>
      <w:tr>
        <w:tc>
          <w:p/>
          <w:p>
            <w:pPr>
              <w:spacing w:after="0" w:before="0" w:lineRule="auto" w:line="276"/>
              <w:jc w:val="left"/>
            </w:pPr>
            <w:r>
              <w:rPr>
                <w:rFonts w:ascii="Times New Roman" w:hAnsi="Times New Roman" w:cs="Times New Roman" w:eastAsia="Times New Roman"/>
                <w:b w:val="false"/>
                <w:sz w:val="26"/>
              </w:rPr>
              <w:t>21/2017/TT-BYT</w:t>
            </w:r>
          </w:p>
        </w:tc>
        <w:tc>
          <w:p/>
          <w:p>
            <w:pPr>
              <w:spacing w:after="0" w:before="0" w:lineRule="auto" w:line="276"/>
              <w:jc w:val="left"/>
            </w:pPr>
            <w:r>
              <w:rPr>
                <w:rFonts w:ascii="Times New Roman" w:hAnsi="Times New Roman" w:cs="Times New Roman" w:eastAsia="Times New Roman"/>
                <w:b w:val="false"/>
                <w:sz w:val="26"/>
              </w:rPr>
              <w:t>Thông tư 21/2017/TT-BYT</w:t>
            </w:r>
          </w:p>
        </w:tc>
        <w:tc>
          <w:p/>
          <w:p>
            <w:pPr>
              <w:spacing w:after="0" w:before="0" w:lineRule="auto" w:line="276"/>
              <w:jc w:val="left"/>
            </w:pPr>
            <w:r>
              <w:rPr>
                <w:rFonts w:ascii="Times New Roman" w:hAnsi="Times New Roman" w:cs="Times New Roman" w:eastAsia="Times New Roman"/>
                <w:b w:val="false"/>
                <w:sz w:val="26"/>
              </w:rPr>
              <w:t>10-05-2017</w:t>
            </w:r>
          </w:p>
        </w:tc>
        <w:tc>
          <w:p/>
        </w:tc>
      </w:tr>
      <w:tr>
        <w:tc>
          <w:p/>
          <w:p>
            <w:pPr>
              <w:spacing w:after="0" w:before="0" w:lineRule="auto" w:line="276"/>
              <w:jc w:val="left"/>
            </w:pPr>
            <w:r>
              <w:rPr>
                <w:rFonts w:ascii="Times New Roman" w:hAnsi="Times New Roman" w:cs="Times New Roman" w:eastAsia="Times New Roman"/>
                <w:b w:val="false"/>
                <w:sz w:val="26"/>
              </w:rPr>
              <w:t>07/2015/TT-BYT</w:t>
            </w:r>
          </w:p>
        </w:tc>
        <w:tc>
          <w:p/>
          <w:p>
            <w:pPr>
              <w:spacing w:after="0" w:before="0" w:lineRule="auto" w:line="276"/>
              <w:jc w:val="left"/>
            </w:pPr>
            <w:r>
              <w:rPr>
                <w:rFonts w:ascii="Times New Roman" w:hAnsi="Times New Roman" w:cs="Times New Roman" w:eastAsia="Times New Roman"/>
                <w:b w:val="false"/>
                <w:sz w:val="26"/>
              </w:rPr>
              <w:t>Thông tư 07/2015/TT-BYT</w:t>
            </w:r>
          </w:p>
        </w:tc>
        <w:tc>
          <w:p/>
          <w:p>
            <w:pPr>
              <w:spacing w:after="0" w:before="0" w:lineRule="auto" w:line="276"/>
              <w:jc w:val="left"/>
            </w:pPr>
            <w:r>
              <w:rPr>
                <w:rFonts w:ascii="Times New Roman" w:hAnsi="Times New Roman" w:cs="Times New Roman" w:eastAsia="Times New Roman"/>
                <w:b w:val="false"/>
                <w:sz w:val="26"/>
              </w:rPr>
              <w:t>03-04-2015</w:t>
            </w:r>
          </w:p>
        </w:tc>
        <w:tc>
          <w:p/>
        </w:tc>
      </w:tr>
      <w:tr>
        <w:tc>
          <w:p/>
          <w:p>
            <w:pPr>
              <w:spacing w:after="0" w:before="0" w:lineRule="auto" w:line="276"/>
              <w:jc w:val="left"/>
            </w:pPr>
            <w:r>
              <w:rPr>
                <w:rFonts w:ascii="Times New Roman" w:hAnsi="Times New Roman" w:cs="Times New Roman" w:eastAsia="Times New Roman"/>
                <w:b w:val="false"/>
                <w:sz w:val="26"/>
              </w:rPr>
              <w:t>43/2013/TT-BYT</w:t>
            </w:r>
          </w:p>
        </w:tc>
        <w:tc>
          <w:p/>
          <w:p>
            <w:pPr>
              <w:spacing w:after="0" w:before="0" w:lineRule="auto" w:line="276"/>
              <w:jc w:val="left"/>
            </w:pPr>
            <w:r>
              <w:rPr>
                <w:rFonts w:ascii="Times New Roman" w:hAnsi="Times New Roman" w:cs="Times New Roman" w:eastAsia="Times New Roman"/>
                <w:b w:val="false"/>
                <w:sz w:val="26"/>
              </w:rPr>
              <w:t>Thông tư 43/2013/TT-BYT</w:t>
            </w:r>
          </w:p>
        </w:tc>
        <w:tc>
          <w:p/>
          <w:p>
            <w:pPr>
              <w:spacing w:after="0" w:before="0" w:lineRule="auto" w:line="276"/>
              <w:jc w:val="left"/>
            </w:pPr>
            <w:r>
              <w:rPr>
                <w:rFonts w:ascii="Times New Roman" w:hAnsi="Times New Roman" w:cs="Times New Roman" w:eastAsia="Times New Roman"/>
                <w:b w:val="false"/>
                <w:sz w:val="26"/>
              </w:rPr>
              <w:t>11-12-2013</w:t>
            </w:r>
          </w:p>
        </w:tc>
        <w:tc>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41/2015/TT-BYT</w:t>
            </w:r>
          </w:p>
        </w:tc>
        <w:tc>
          <w:p/>
          <w:p>
            <w:pPr>
              <w:spacing w:after="0" w:before="0" w:lineRule="auto" w:line="276"/>
              <w:jc w:val="left"/>
            </w:pPr>
            <w:r>
              <w:rPr>
                <w:rFonts w:ascii="Times New Roman" w:hAnsi="Times New Roman" w:cs="Times New Roman" w:eastAsia="Times New Roman"/>
                <w:b w:val="false"/>
                <w:sz w:val="26"/>
              </w:rPr>
              <w:t>Thông tư 41/2015/TT-BYT</w:t>
            </w:r>
          </w:p>
        </w:tc>
        <w:tc>
          <w:p/>
          <w:p>
            <w:pPr>
              <w:spacing w:after="0" w:before="0" w:lineRule="auto" w:line="276"/>
              <w:jc w:val="left"/>
            </w:pPr>
            <w:r>
              <w:rPr>
                <w:rFonts w:ascii="Times New Roman" w:hAnsi="Times New Roman" w:cs="Times New Roman" w:eastAsia="Times New Roman"/>
                <w:b w:val="false"/>
                <w:sz w:val="26"/>
              </w:rPr>
              <w:t>17-11-2015</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24-11-2009</w:t>
            </w:r>
          </w:p>
        </w:tc>
        <w:tc>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w:t>
            </w:r>
          </w:p>
        </w:tc>
        <w:tc>
          <w:p/>
          <w:p>
            <w:pPr>
              <w:spacing w:after="0" w:before="0" w:lineRule="auto" w:line="276"/>
              <w:jc w:val="left"/>
            </w:pPr>
            <w:r>
              <w:rPr>
                <w:rFonts w:ascii="Times New Roman" w:hAnsi="Times New Roman" w:cs="Times New Roman" w:eastAsia="Times New Roman"/>
                <w:b w:val="false"/>
                <w:sz w:val="26"/>
              </w:rPr>
              <w:t>15-11-2011</w:t>
            </w:r>
          </w:p>
        </w:tc>
        <w:tc>
          <w:p/>
        </w:tc>
      </w:tr>
      <w:tr>
        <w:tc>
          <w:p/>
          <w:p>
            <w:pPr>
              <w:spacing w:after="0" w:before="0" w:lineRule="auto" w:line="276"/>
              <w:jc w:val="left"/>
            </w:pPr>
            <w:r>
              <w:rPr>
                <w:rFonts w:ascii="Times New Roman" w:hAnsi="Times New Roman" w:cs="Times New Roman" w:eastAsia="Times New Roman"/>
                <w:b w:val="false"/>
                <w:sz w:val="26"/>
              </w:rPr>
              <w:t>41/2017/TT-BYT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09-11-2017</w:t>
            </w:r>
          </w:p>
        </w:tc>
        <w:tc>
          <w:p/>
        </w:tc>
      </w:tr>
      <w:tr>
        <w:tc>
          <w:p/>
          <w:p>
            <w:pPr>
              <w:spacing w:after="0" w:before="0" w:lineRule="auto" w:line="276"/>
              <w:jc w:val="left"/>
            </w:pPr>
            <w:r>
              <w:rPr>
                <w:rFonts w:ascii="Times New Roman" w:hAnsi="Times New Roman" w:cs="Times New Roman" w:eastAsia="Times New Roman"/>
                <w:b w:val="false"/>
                <w:sz w:val="26"/>
              </w:rPr>
              <w:t>50/2014/TT-BYT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26-12-2014</w:t>
            </w:r>
          </w:p>
        </w:tc>
        <w:tc>
          <w:p/>
        </w:tc>
      </w:tr>
      <w:tr>
        <w:tc>
          <w:p/>
          <w:p>
            <w:pPr>
              <w:spacing w:after="0" w:before="0" w:lineRule="auto" w:line="276"/>
              <w:jc w:val="left"/>
            </w:pPr>
            <w:r>
              <w:rPr>
                <w:rFonts w:ascii="Times New Roman" w:hAnsi="Times New Roman" w:cs="Times New Roman" w:eastAsia="Times New Roman"/>
                <w:b w:val="false"/>
                <w:sz w:val="26"/>
              </w:rPr>
              <w:t>21/2019/TT-BYT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21-08-2019</w:t>
            </w:r>
          </w:p>
        </w:tc>
        <w:tc>
          <w:p/>
        </w:tc>
      </w:tr>
      <w:tr>
        <w:tc>
          <w:p/>
          <w:p>
            <w:pPr>
              <w:spacing w:after="0" w:before="0" w:lineRule="auto" w:line="276"/>
              <w:jc w:val="left"/>
            </w:pPr>
            <w:r>
              <w:rPr>
                <w:rFonts w:ascii="Times New Roman" w:hAnsi="Times New Roman" w:cs="Times New Roman" w:eastAsia="Times New Roman"/>
                <w:b w:val="false"/>
                <w:sz w:val="26"/>
              </w:rPr>
              <w:t>35/2019/TT-BYT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30-12-2019</w:t>
            </w:r>
          </w:p>
        </w:tc>
        <w:tc>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Ngoài việc đáp ứng các điều kiện quy định tại Điều 23a Nghị định  155/2018/NĐ-CP ngày 12/11/2018 của Chính Phủ về Điều kiện chung để cấp giấy phép hoạt động đối với các cơ sở khám bệnh, chữa bệnh thì phòng khám đa khoa phải đáp ứng thêm các điều kiện sau:
1. Quy mô phòng khám đa khoa:
a) Có ít nhất 02 trong 04 chuyên khoa nội, ngoại, sản, nhi;
b) Có bộ phận cận lâm sàng (xét nghiệm và chẩn đoán hình ảnh).
2. Cơ sở vật chất: Có phòng cấp cứu, phòng lưu người bệnh, phòng khám chuyên khoa và phòng tiểu phẫu (nếu thực hiện tiểu phẫu). Các phòng khám trong phòng khám đa khoa phải có đủ diện tích để thực hiện kỹ thuật chuyên môn.
3. Thiết bị y tế: Có hộp thuốc chống sốc và đủ thuốc cấp cứu chuyên khoa.
4. Nhân sự:
Số lượng bác sỹ khám bệnh, chữa bệnh hành nghề cơ hữu phải đạt tỷ lệ ít nhất là 50% trên tổng số bác sỹ hành nghề khám bệnh, chữa bệnh của phòng khám đa khoa. Người phụ trách các phòng khám chuyên khoa và bộ phận cận lâm sàng (xét nghiệm và chẩn đoán hình ảnh) thuộc Phòng khám đa khoa phải là người làm việc cơ hữu tại phòng khám.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2026-05-23T16:35:38Z</dcterms:created>
  <dc:creator>Apache POI</dc:creator>
</cp:coreProperties>
</file>