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settings+xml" PartName="/word/settings.xml"/>
</Types>
</file>

<file path=_rels/.rels><?xml version="1.0" encoding="UTF-8" standalone="no"?>
<Relationships xmlns="http://schemas.openxmlformats.org/package/2006/relationships">
<Relationship Id="rId1" Target="word/document.xml" Type="http://schemas.openxmlformats.org/officeDocument/2006/relationships/officeDocument"/>
<Relationship Id="rId2" Target="docProps/app.xml" Type="http://schemas.openxmlformats.org/officeDocument/2006/relationships/extended-properties"/>
<Relationship Id="rId3" Target="docProps/core.xml" Type="http://schemas.openxmlformats.org/package/2006/relationships/metadata/core-properties"/>
</Relationships>

</file>

<file path=word/document.xml><?xml version="1.0" encoding="utf-8"?>
<w:document xmlns:w="http://schemas.openxmlformats.org/wordprocessingml/2006/main">
  <w:body>
    <w:p>
      <w:pPr>
        <w:spacing w:after="300" w:before="0" w:lineRule="auto" w:line="276"/>
        <w:jc w:val="center"/>
      </w:pPr>
      <w:r>
        <w:rPr>
          <w:rFonts w:ascii="Times New Roman" w:hAnsi="Times New Roman" w:cs="Times New Roman" w:eastAsia="Times New Roman"/>
          <w:b w:val="true"/>
          <w:sz w:val="26"/>
        </w:rPr>
        <w:t>Chi tiết thủ tục hành chính</w:t>
      </w:r>
    </w:p>
    <w:p>
      <w:pPr>
        <w:spacing w:after="0" w:before="0" w:lineRule="auto" w:line="276"/>
        <w:jc w:val="both"/>
      </w:pPr>
      <w:r>
        <w:rPr>
          <w:rFonts w:ascii="Times New Roman" w:hAnsi="Times New Roman" w:cs="Times New Roman" w:eastAsia="Times New Roman"/>
          <w:b w:val="true"/>
          <w:sz w:val="26"/>
        </w:rPr>
        <w:t xml:space="preserve">Mã thủ tục: </w:t>
      </w:r>
      <w:r>
        <w:rPr>
          <w:rFonts w:ascii="Times New Roman" w:hAnsi="Times New Roman" w:cs="Times New Roman" w:eastAsia="Times New Roman"/>
          <w:b w:val="false"/>
          <w:sz w:val="26"/>
        </w:rPr>
        <w:t>1.002267</w:t>
      </w:r>
    </w:p>
    <w:p>
      <w:pPr>
        <w:spacing w:after="0" w:before="0" w:lineRule="auto" w:line="276"/>
        <w:jc w:val="both"/>
      </w:pPr>
      <w:r>
        <w:rPr>
          <w:rFonts w:ascii="Times New Roman" w:hAnsi="Times New Roman" w:cs="Times New Roman" w:eastAsia="Times New Roman"/>
          <w:b w:val="true"/>
          <w:sz w:val="26"/>
        </w:rPr>
        <w:t xml:space="preserve">Số quyết định: </w:t>
      </w:r>
      <w:r>
        <w:rPr>
          <w:rFonts w:ascii="Times New Roman" w:hAnsi="Times New Roman" w:cs="Times New Roman" w:eastAsia="Times New Roman"/>
          <w:b w:val="false"/>
          <w:sz w:val="26"/>
        </w:rPr>
        <w:t>1442/QĐ-BKHCN</w:t>
      </w:r>
    </w:p>
    <w:p>
      <w:pPr>
        <w:spacing w:after="0" w:before="0" w:lineRule="auto" w:line="276"/>
        <w:jc w:val="both"/>
      </w:pPr>
      <w:r>
        <w:rPr>
          <w:rFonts w:ascii="Times New Roman" w:hAnsi="Times New Roman" w:cs="Times New Roman" w:eastAsia="Times New Roman"/>
          <w:b w:val="true"/>
          <w:sz w:val="26"/>
        </w:rPr>
        <w:t xml:space="preserve">Tên thủ tục: </w:t>
      </w:r>
      <w:r>
        <w:rPr>
          <w:rFonts w:ascii="Times New Roman" w:hAnsi="Times New Roman" w:cs="Times New Roman" w:eastAsia="Times New Roman"/>
          <w:b w:val="false"/>
          <w:sz w:val="26"/>
        </w:rPr>
        <w:t>Thủ tục cấp Giấy chứng nhận đăng ký cung cấp dịch vụ kiểm định, hiệu chuẩn, thử nghiệm</w:t>
      </w:r>
    </w:p>
    <w:p>
      <w:pPr>
        <w:spacing w:after="0" w:before="0" w:lineRule="auto" w:line="276"/>
        <w:jc w:val="both"/>
      </w:pPr>
      <w:r>
        <w:rPr>
          <w:rFonts w:ascii="Times New Roman" w:hAnsi="Times New Roman" w:cs="Times New Roman" w:eastAsia="Times New Roman"/>
          <w:b w:val="true"/>
          <w:sz w:val="26"/>
        </w:rPr>
        <w:t xml:space="preserve">Cấp thực hiện: </w:t>
      </w:r>
      <w:r>
        <w:rPr>
          <w:rFonts w:ascii="Times New Roman" w:hAnsi="Times New Roman" w:cs="Times New Roman" w:eastAsia="Times New Roman"/>
          <w:b w:val="false"/>
          <w:sz w:val="26"/>
        </w:rPr>
        <w:t>Cấp Bộ</w:t>
      </w:r>
    </w:p>
    <w:p>
      <w:pPr>
        <w:spacing w:after="0" w:before="0" w:lineRule="auto" w:line="276"/>
        <w:jc w:val="both"/>
      </w:pPr>
      <w:r>
        <w:rPr>
          <w:rFonts w:ascii="Times New Roman" w:hAnsi="Times New Roman" w:cs="Times New Roman" w:eastAsia="Times New Roman"/>
          <w:b w:val="true"/>
          <w:sz w:val="26"/>
        </w:rPr>
        <w:t xml:space="preserve">Loại thủ tục: </w:t>
      </w:r>
      <w:r>
        <w:rPr>
          <w:rFonts w:ascii="Times New Roman" w:hAnsi="Times New Roman" w:cs="Times New Roman" w:eastAsia="Times New Roman"/>
          <w:b w:val="false"/>
          <w:sz w:val="26"/>
        </w:rPr>
        <w:t>TTHC được luật giao quy định chi tiết</w:t>
      </w:r>
    </w:p>
    <w:p>
      <w:pPr>
        <w:spacing w:after="0" w:before="0" w:lineRule="auto" w:line="276"/>
        <w:jc w:val="both"/>
      </w:pPr>
      <w:r>
        <w:rPr>
          <w:rFonts w:ascii="Times New Roman" w:hAnsi="Times New Roman" w:cs="Times New Roman" w:eastAsia="Times New Roman"/>
          <w:b w:val="true"/>
          <w:sz w:val="26"/>
        </w:rPr>
        <w:t xml:space="preserve">Lĩnh vực: </w:t>
      </w:r>
      <w:r>
        <w:rPr>
          <w:rFonts w:ascii="Times New Roman" w:hAnsi="Times New Roman" w:cs="Times New Roman" w:eastAsia="Times New Roman"/>
          <w:b w:val="false"/>
          <w:sz w:val="26"/>
        </w:rPr>
        <w:t>Tiêu chuẩn đo lường chất lượng</w:t>
      </w:r>
    </w:p>
    <w:p>
      <w:pPr>
        <w:spacing w:after="0" w:before="0" w:lineRule="auto" w:line="276"/>
        <w:jc w:val="both"/>
      </w:pPr>
      <w:r>
        <w:rPr>
          <w:rFonts w:ascii="Times New Roman" w:hAnsi="Times New Roman" w:cs="Times New Roman" w:eastAsia="Times New Roman"/>
          <w:b w:val="true"/>
          <w:sz w:val="26"/>
        </w:rPr>
        <w:t xml:space="preserve">Trình tự thực hiện: </w:t>
      </w:r>
    </w:p>
    <w:p>
      <w:pPr>
        <w:shd w:val="clear" w:color="auto" w:fill="F2F6F9"/>
        <w:spacing w:after="0" w:before="120" w:lineRule="auto" w:line="276"/>
        <w:jc w:val="both"/>
      </w:pPr>
      <w:r>
        <w:rPr>
          <w:rFonts w:ascii="Times New Roman" w:hAnsi="Times New Roman" w:cs="Times New Roman" w:eastAsia="Times New Roman"/>
          <w:b w:val="true"/>
          <w:sz w:val="26"/>
        </w:rPr>
        <w:t/>
      </w:r>
    </w:p>
    <w:p>
      <w:pPr>
        <w:spacing w:after="0" w:before="0" w:lineRule="auto" w:line="276"/>
        <w:jc w:val="both"/>
      </w:pPr>
      <w:r>
        <w:rPr>
          <w:rFonts w:ascii="Times New Roman" w:hAnsi="Times New Roman" w:cs="Times New Roman" w:eastAsia="Times New Roman"/>
          <w:b w:val="false"/>
          <w:sz w:val="26"/>
        </w:rPr>
        <w:t>Bước 1: Tiếp nhận hồ sơ
Tổ chức đăng ký cung cấp dịch vụ kiểm định, hiệu chuẩn, thử nghiệm (gọi tắt là tổ chức đăng ký) chuẩn bị 01 bộ hồ sơ theo quy định tại Điều 5 Nghị định 105/2016/NĐ-CP ngày 01/7/2016 của Chính phủ và gửi hồ sơ qua đường bưu điện hoặc nộp trực tiếp tại trụ sở hoặc qua Cổng dịch vụ công trực tuyến của Tổng cục Tiêu chuẩn Đo lường Chất lượng, cụ thể:</w:t>
      </w:r>
    </w:p>
    <w:p>
      <w:pPr>
        <w:spacing w:after="0" w:before="0" w:lineRule="auto" w:line="276"/>
        <w:jc w:val="both"/>
      </w:pPr>
      <w:r>
        <w:rPr>
          <w:rFonts w:ascii="Times New Roman" w:hAnsi="Times New Roman" w:cs="Times New Roman" w:eastAsia="Times New Roman"/>
          <w:b w:val="false"/>
          <w:sz w:val="26"/>
        </w:rPr>
        <w:t>- Trường hợp nộp hồ sơ trực tiếp tại trụ sở Tổng cục Tiêu chuẩn Đo lường Chất lượng, các tài liệu quy định chưa được chứng thực từ bản chính, doanh nghiệp phải xuất trình bản chính để đối chiếu.</w:t>
      </w:r>
    </w:p>
    <w:p>
      <w:pPr>
        <w:spacing w:after="0" w:before="0" w:lineRule="auto" w:line="276"/>
        <w:jc w:val="both"/>
      </w:pPr>
      <w:r>
        <w:rPr>
          <w:rFonts w:ascii="Times New Roman" w:hAnsi="Times New Roman" w:cs="Times New Roman" w:eastAsia="Times New Roman"/>
          <w:b w:val="false"/>
          <w:sz w:val="26"/>
        </w:rPr>
        <w:t>- Trường hợp hồ sơ được gửi qua bưu điện, các tài liệu quy định, doanh nghiệp phải nộp bản sao đã được chứng thực từ bản chính.</w:t>
      </w:r>
    </w:p>
    <w:p>
      <w:pPr>
        <w:spacing w:after="0" w:before="0" w:lineRule="auto" w:line="276"/>
        <w:jc w:val="both"/>
      </w:pPr>
      <w:r>
        <w:rPr>
          <w:rFonts w:ascii="Times New Roman" w:hAnsi="Times New Roman" w:cs="Times New Roman" w:eastAsia="Times New Roman"/>
          <w:b w:val="false"/>
          <w:sz w:val="26"/>
        </w:rPr>
        <w:t>- Trường hợp nộp hồ sơ qua Cổng dịch vụ công trực tuyến của Tổng cục Tiêu chuẩn Đo lường Chất lượng, thực hiện theo văn bản hướng dẫn về giải quyết thủ tục hành chính trực tuyến.
Thời gian tiếp nhận hồ sơ: Sáng từ 08 giờ đến 12 giờ và chiều từ 13 giờ đến 17 giờ vào ngày làm việc trong tuần (trừ ngày thứ bảy, chủ nhật và ngày lễ).</w:t>
      </w:r>
    </w:p>
    <w:p>
      <w:pPr>
        <w:spacing w:after="0" w:before="0" w:lineRule="auto" w:line="276"/>
        <w:jc w:val="both"/>
      </w:pPr>
      <w:r>
        <w:rPr>
          <w:rFonts w:ascii="Times New Roman" w:hAnsi="Times New Roman" w:cs="Times New Roman" w:eastAsia="Times New Roman"/>
          <w:b w:val="false"/>
          <w:sz w:val="26"/>
        </w:rPr>
        <w:t>Bước 2: Xử lý hồ sơ
Tổng cục Tiêu chuẩn Đo lường Chất lượng tiếp nhận hồ sơ, xem xét, thẩm định theo quy định:</w:t>
      </w:r>
    </w:p>
    <w:p>
      <w:pPr>
        <w:spacing w:after="0" w:before="0" w:lineRule="auto" w:line="276"/>
        <w:jc w:val="both"/>
      </w:pPr>
      <w:r>
        <w:rPr>
          <w:rFonts w:ascii="Times New Roman" w:hAnsi="Times New Roman" w:cs="Times New Roman" w:eastAsia="Times New Roman"/>
          <w:b w:val="false"/>
          <w:sz w:val="26"/>
        </w:rPr>
        <w:t>- Trường hợp hồ sơ chưa đầy đủ, Tổng cục Tiêu chuẩn Đo lường Chất lượng thông báo (bằng văn bản hoặc qua điện thoại/fax/email) yêu cầu tổ chức đăng ký sửa đổi, bổ sung.</w:t>
      </w:r>
    </w:p>
    <w:p>
      <w:pPr>
        <w:spacing w:after="0" w:before="0" w:lineRule="auto" w:line="276"/>
        <w:jc w:val="both"/>
      </w:pPr>
      <w:r>
        <w:rPr>
          <w:rFonts w:ascii="Times New Roman" w:hAnsi="Times New Roman" w:cs="Times New Roman" w:eastAsia="Times New Roman"/>
          <w:b w:val="false"/>
          <w:sz w:val="26"/>
        </w:rPr>
        <w:t>- Trường hợp hồ sơ đầy đủ và hợp lệ, Bộ Khoa học và Công nghệ chịu trách nhiệm cấp Giấy chứng nhận cho tổ chức đăng ký. Trường hợp từ chối cấp thì phải thông báo bằng văn bản cho tổ chức đăng ký và nêu rõ lý do.</w:t>
      </w:r>
    </w:p>
    <w:p>
      <w:pPr>
        <w:spacing w:after="0" w:before="0" w:lineRule="auto" w:line="276"/>
        <w:jc w:val="both"/>
      </w:pPr>
      <w:r>
        <w:rPr>
          <w:rFonts w:ascii="Times New Roman" w:hAnsi="Times New Roman" w:cs="Times New Roman" w:eastAsia="Times New Roman"/>
          <w:b w:val="false"/>
          <w:sz w:val="26"/>
        </w:rPr>
        <w:t>- Trường hợp hồ sơ đầy đủ nhưng có thông tin, phản ảnh hoặc kết quả thanh tra, kiểm tra phát hiện một hoặc các điều kiện hoạt động của tổ chức đăng ký là không phù hợp quy định hoặc có yêu cầu của cơ quan nhà nước có thẩm quyền, Tổng cục Tiêu chuẩn Đo lường Chất lượng tổ chức đánh giá tại cơ sở.</w:t>
      </w:r>
    </w:p>
    <w:p>
      <w:pPr>
        <w:spacing w:after="0" w:before="0" w:lineRule="auto" w:line="276"/>
        <w:jc w:val="both"/>
      </w:pPr>
      <w:r>
        <w:rPr>
          <w:rFonts w:ascii="Times New Roman" w:hAnsi="Times New Roman" w:cs="Times New Roman" w:eastAsia="Times New Roman"/>
          <w:b w:val="false"/>
          <w:sz w:val="26"/>
        </w:rPr>
        <w:t>+ Kết quả đánh giá đạt yêu cầu hoặc tổ chức đăng ký khắc phục kết quả đánh giá đạt yêu cầu, Bộ khoa học và Công nghệ chịu trách nhiệm cấp Giấy chứng nhận cho tổ chức đăng ký.</w:t>
      </w:r>
    </w:p>
    <w:p>
      <w:pPr>
        <w:spacing w:after="0" w:before="0" w:lineRule="auto" w:line="276"/>
        <w:jc w:val="both"/>
      </w:pPr>
      <w:r>
        <w:rPr>
          <w:rFonts w:ascii="Times New Roman" w:hAnsi="Times New Roman" w:cs="Times New Roman" w:eastAsia="Times New Roman"/>
          <w:b w:val="false"/>
          <w:sz w:val="26"/>
        </w:rPr>
        <w:t>+ Kết quả đánh giá không đạt yêu cầu, Tổng cục Tiêu chuẩn Đo lường Chất lượng thông báo bằng văn bản cho tổ chức đăng ký và nêu rõ lý do.</w:t>
      </w:r>
    </w:p>
    <w:p>
      <w:pPr>
        <w:spacing w:after="0" w:before="0" w:lineRule="auto" w:line="276"/>
        <w:jc w:val="both"/>
      </w:pPr>
      <w:r>
        <w:rPr>
          <w:rFonts w:ascii="Times New Roman" w:hAnsi="Times New Roman" w:cs="Times New Roman" w:eastAsia="Times New Roman"/>
          <w:b w:val="false"/>
          <w:sz w:val="26"/>
        </w:rPr>
        <w:t>Bước 3: Trả kết quả
Trả kết quả trực tiếp tại trụ sở Tổng cục Tiêu chuẩn Đo lường Chất lượng hoặc theo đường bưu điện</w:t>
      </w:r>
    </w:p>
    <w:p>
      <w:pPr>
        <w:spacing w:after="0" w:before="240" w:lineRule="auto" w:line="276"/>
        <w:jc w:val="both"/>
      </w:pPr>
      <w:r>
        <w:rPr>
          <w:rFonts w:ascii="Times New Roman" w:hAnsi="Times New Roman" w:cs="Times New Roman" w:eastAsia="Times New Roman"/>
          <w:b w:val="true"/>
          <w:sz w:val="26"/>
        </w:rPr>
        <w:t xml:space="preserve">Cách thức thực hiện: </w:t>
      </w:r>
    </w:p>
    <w:tbl>
      <w:tblPr>
        <w:tblW w:w="0" w:type="auto"/>
        <w:tblBorders>
          <w:top w:val="single"/>
          <w:left w:val="single"/>
          <w:bottom w:val="single"/>
          <w:right w:val="single"/>
          <w:insideH w:val="single"/>
          <w:insideV w:val="single"/>
        </w:tblBorders>
      </w:tblPr>
      <w:tr>
        <w:tc>
          <w:tcPr>
            <w:tcW w:w="1500"/>
          </w:tcPr>
          <w:p/>
          <w:p>
            <w:pPr>
              <w:spacing w:after="0" w:before="0" w:lineRule="auto" w:line="276"/>
              <w:jc w:val="center"/>
            </w:pPr>
            <w:r>
              <w:rPr>
                <w:rFonts w:ascii="Times New Roman" w:hAnsi="Times New Roman" w:cs="Times New Roman" w:eastAsia="Times New Roman"/>
                <w:b w:val="true"/>
                <w:sz w:val="26"/>
              </w:rPr>
              <w:t>Hình thức nộp</w:t>
            </w:r>
          </w:p>
        </w:tc>
        <w:tc>
          <w:tcPr>
            <w:tcW w:w="2000"/>
          </w:tcPr>
          <w:p/>
          <w:p>
            <w:pPr>
              <w:spacing w:after="0" w:before="0" w:lineRule="auto" w:line="276"/>
              <w:jc w:val="center"/>
            </w:pPr>
            <w:r>
              <w:rPr>
                <w:rFonts w:ascii="Times New Roman" w:hAnsi="Times New Roman" w:cs="Times New Roman" w:eastAsia="Times New Roman"/>
                <w:b w:val="true"/>
                <w:sz w:val="26"/>
              </w:rPr>
              <w:t>Thời hạn giải quyết</w:t>
            </w:r>
          </w:p>
        </w:tc>
        <w:tc>
          <w:tcPr>
            <w:tcW w:w="3500"/>
          </w:tcPr>
          <w:p/>
          <w:p>
            <w:pPr>
              <w:spacing w:after="0" w:before="0" w:lineRule="auto" w:line="276"/>
              <w:jc w:val="center"/>
            </w:pPr>
            <w:r>
              <w:rPr>
                <w:rFonts w:ascii="Times New Roman" w:hAnsi="Times New Roman" w:cs="Times New Roman" w:eastAsia="Times New Roman"/>
                <w:b w:val="true"/>
                <w:sz w:val="26"/>
              </w:rPr>
              <w:t>Phí, lệ phí</w:t>
            </w:r>
          </w:p>
        </w:tc>
        <w:tc>
          <w:tcPr>
            <w:tcW w:w="3000"/>
          </w:tcPr>
          <w:p/>
          <w:p>
            <w:pPr>
              <w:spacing w:after="0" w:before="0" w:lineRule="auto" w:line="276"/>
              <w:jc w:val="center"/>
            </w:pPr>
            <w:r>
              <w:rPr>
                <w:rFonts w:ascii="Times New Roman" w:hAnsi="Times New Roman" w:cs="Times New Roman" w:eastAsia="Times New Roman"/>
                <w:b w:val="true"/>
                <w:sz w:val="26"/>
              </w:rPr>
              <w:t>Mô tả</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7 Ngày làm việc</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 Thời hạn kiểm tra và thông báo nếu hồ sơ chưa đầy đủ: 05 ngày làm việc.
- Thời hạn giải quyết sau khi hồ sơ hợp lệ và không phải đánh giá tại cơ sở: 07 ngày làm việc.
- Thời hạn giải quyết khi phải đánh giá tại cơ sở:
+ Thời hạn tổ chức đánh giá (bao gồm cả thời gian thành lập đoàn đánh giá): 30 ngày.
+ Thời hạn giải quyết khi nhận được kết quả đánh giá đạt yêu cầu hoặc kết quả khắc phục kết luận của đoàn đánh giá đạt yêu cầu: 07 ngày</w:t>
            </w:r>
          </w:p>
        </w:tc>
      </w:tr>
      <w:tr>
        <w:tc>
          <w:p/>
          <w:p>
            <w:pPr>
              <w:spacing w:after="0" w:before="0" w:lineRule="auto" w:line="276"/>
              <w:jc w:val="left"/>
            </w:pPr>
            <w:r>
              <w:rPr>
                <w:rFonts w:ascii="Times New Roman" w:hAnsi="Times New Roman" w:cs="Times New Roman" w:eastAsia="Times New Roman"/>
                <w:b w:val="false"/>
                <w:sz w:val="26"/>
              </w:rPr>
              <w:t>Dịch vụ bưu chính</w:t>
            </w:r>
          </w:p>
        </w:tc>
        <w:tc>
          <w:p/>
          <w:p>
            <w:pPr>
              <w:spacing w:after="0" w:before="0" w:lineRule="auto" w:line="276"/>
              <w:jc w:val="left"/>
            </w:pPr>
            <w:r>
              <w:rPr>
                <w:rFonts w:ascii="Times New Roman" w:hAnsi="Times New Roman" w:cs="Times New Roman" w:eastAsia="Times New Roman"/>
                <w:b w:val="false"/>
                <w:sz w:val="26"/>
              </w:rPr>
              <w:t>7 Ngày làm việc</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 Thời hạn kiểm tra và thông báo nếu hồ sơ chưa đầy đủ: 05 ngày làm việc.
- Thời hạn giải quyết sau khi hồ sơ hợp lệ và không phải đánh giá tại cơ sở: 07 ngày làm việc.
- Thời hạn giải quyết khi phải đánh giá tại cơ sở:
+ Thời hạn tổ chức đánh giá (bao gồm cả thời gian thành lập đoàn đánh giá): 30 ngày.
+ Thời hạn giải quyết khi nhận được kết quả đánh giá đạt yêu cầu hoặc kết quả khắc phục kết luận của đoàn đánh giá đạt yêu cầu: 07 ngày</w:t>
            </w:r>
          </w:p>
        </w:tc>
      </w:tr>
    </w:tbl>
    <w:p>
      <w:pPr>
        <w:spacing w:after="0" w:before="240" w:lineRule="auto" w:line="276"/>
        <w:jc w:val="both"/>
      </w:pPr>
      <w:r>
        <w:rPr>
          <w:rFonts w:ascii="Times New Roman" w:hAnsi="Times New Roman" w:cs="Times New Roman" w:eastAsia="Times New Roman"/>
          <w:b w:val="true"/>
          <w:sz w:val="26"/>
        </w:rPr>
        <w:t xml:space="preserve">Thành phần hồ sơ: </w:t>
      </w:r>
    </w:p>
    <w:p>
      <w:pPr>
        <w:shd w:val="clear" w:color="auto" w:fill="F2F6F9"/>
        <w:spacing w:after="0" w:before="120" w:lineRule="auto" w:line="276"/>
        <w:jc w:val="both"/>
      </w:pPr>
      <w:r>
        <w:rPr>
          <w:rFonts w:ascii="Times New Roman" w:hAnsi="Times New Roman" w:cs="Times New Roman" w:eastAsia="Times New Roman"/>
          <w:b w:val="true"/>
          <w:sz w:val="26"/>
        </w:rPr>
        <w:t>Bao gồm</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 Đơn đăng ký cung cấp dịch vụ kiểm định, hiệu chuẩn, thử nghiệm phương tiện đo, chuẩn đo lường;</w:t>
            </w:r>
          </w:p>
        </w:tc>
        <w:tc>
          <w:p/>
          <w:p>
            <w:pPr>
              <w:spacing w:after="0" w:before="0" w:lineRule="auto" w:line="276"/>
              <w:jc w:val="left"/>
            </w:pPr>
            <w:r>
              <w:rPr>
                <w:rFonts w:ascii="Times New Roman" w:hAnsi="Times New Roman" w:cs="Times New Roman" w:eastAsia="Times New Roman"/>
                <w:b w:val="false"/>
                <w:sz w:val="26"/>
              </w:rPr>
              <w:t>ĐƠN ĐĂNG KÝ CUNG CẤP DỊCH VỤ KIỂM ĐỊNH, HIỆU CHUẨN, THỬ NGHIỆM PHƯƠNG TIỆN ĐO, CHUẨN ĐO LƯỜNG.docx</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Bản sao có chứng thực hoặc bản sao kèm bản chính để đối chiếu quyết định thành lập hoặc giấy chứng nhận đăng ký hoạt động khoa học và công nghệ hoặc giấy chứng nhận đăng ký kinh doanh do cơ quan nhà nước có thẩm quyền cấp;</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 Báo cáo về cơ sở vật chất kỹ thuật, nhân lực;</w:t>
            </w:r>
          </w:p>
        </w:tc>
        <w:tc>
          <w:p/>
          <w:p>
            <w:pPr>
              <w:spacing w:after="0" w:before="0" w:lineRule="auto" w:line="276"/>
              <w:jc w:val="left"/>
            </w:pPr>
            <w:r>
              <w:rPr>
                <w:rFonts w:ascii="Times New Roman" w:hAnsi="Times New Roman" w:cs="Times New Roman" w:eastAsia="Times New Roman"/>
                <w:b w:val="false"/>
                <w:sz w:val="26"/>
              </w:rPr>
              <w:t>BÁO CÁO VỀ CƠ SỞ VẬT CHẤT KỸ THUẬT, NHÂN LỰC.docx</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Danh mục hồ sơ của hệ thống quản lý đã thiết lập và duy trì đối với lĩnh vực hoạt động kiểm định, hiệu chuẩn, thử nghiệm đăng ký thực hiện;</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Văn bản quy định về quản lý chứng chỉ kiểm định, hiệu chuẩn, thử nghiệm gồm các nội dung chính sau: Nội dung, hình thức của chứng chỉ; việc chế tạo, quản lý và sử dụng chứng chỉ; kích thước và vị trí thể hiện số đăng ký trên chứng chỉ để bảo đảm nhận biết dễ dàng bằng mắt thường; văn bản quy định về việc duy trì, bảo quản, sử dụng chuẩn đo lường, phương tiện đo để kiểm định, hiệu chuẩn, thử nghiệm.</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bl>
    <w:p>
      <w:pPr>
        <w:spacing w:after="0" w:before="240" w:lineRule="auto" w:line="276"/>
        <w:jc w:val="both"/>
      </w:pPr>
      <w:r>
        <w:rPr>
          <w:rFonts w:ascii="Times New Roman" w:hAnsi="Times New Roman" w:cs="Times New Roman" w:eastAsia="Times New Roman"/>
          <w:b w:val="true"/>
          <w:sz w:val="26"/>
        </w:rPr>
        <w:t xml:space="preserve">Đối tượng thực hiện: </w:t>
      </w:r>
      <w:r>
        <w:rPr>
          <w:rFonts w:ascii="Times New Roman" w:hAnsi="Times New Roman" w:cs="Times New Roman" w:eastAsia="Times New Roman"/>
          <w:b w:val="false"/>
          <w:sz w:val="26"/>
        </w:rPr>
        <w:t>Doanh nghiệp, Tổ chức (không bao gồm doanh nghiệp, HTX)</w:t>
      </w:r>
    </w:p>
    <w:p>
      <w:pPr>
        <w:spacing w:after="0" w:before="0" w:lineRule="auto" w:line="276"/>
        <w:jc w:val="both"/>
      </w:pPr>
      <w:r>
        <w:rPr>
          <w:rFonts w:ascii="Times New Roman" w:hAnsi="Times New Roman" w:cs="Times New Roman" w:eastAsia="Times New Roman"/>
          <w:b w:val="true"/>
          <w:sz w:val="26"/>
        </w:rPr>
        <w:t xml:space="preserve">Cơ quan thực hiện: </w:t>
      </w:r>
      <w:r>
        <w:rPr>
          <w:rFonts w:ascii="Times New Roman" w:hAnsi="Times New Roman" w:cs="Times New Roman" w:eastAsia="Times New Roman"/>
          <w:b w:val="false"/>
          <w:sz w:val="26"/>
        </w:rPr>
        <w:t>Tổng cục Tiêu chuẩn Đo lường Chất lượng - Bộ Khoa học và Công nghệ</w:t>
      </w:r>
    </w:p>
    <w:p>
      <w:pPr>
        <w:spacing w:after="0" w:before="0" w:lineRule="auto" w:line="276"/>
        <w:jc w:val="both"/>
      </w:pPr>
      <w:r>
        <w:rPr>
          <w:rFonts w:ascii="Times New Roman" w:hAnsi="Times New Roman" w:cs="Times New Roman" w:eastAsia="Times New Roman"/>
          <w:b w:val="true"/>
          <w:sz w:val="26"/>
        </w:rPr>
        <w:t xml:space="preserve">Cơ quan có thẩm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Địa chỉ tiếp nhận HS: </w:t>
      </w:r>
      <w:r>
        <w:rPr>
          <w:rFonts w:ascii="Times New Roman" w:hAnsi="Times New Roman" w:cs="Times New Roman" w:eastAsia="Times New Roman"/>
          <w:b w:val="false"/>
          <w:sz w:val="26"/>
        </w:rPr>
        <w:t>Tổng cục Tiêu chuẩn Đo lường Chất lượng</w:t>
      </w:r>
    </w:p>
    <w:p>
      <w:pPr>
        <w:spacing w:after="0" w:before="0" w:lineRule="auto" w:line="276"/>
        <w:jc w:val="both"/>
      </w:pPr>
      <w:r>
        <w:rPr>
          <w:rFonts w:ascii="Times New Roman" w:hAnsi="Times New Roman" w:cs="Times New Roman" w:eastAsia="Times New Roman"/>
          <w:b w:val="true"/>
          <w:sz w:val="26"/>
        </w:rPr>
        <w:t xml:space="preserve">Cơ quan được ủy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phối hợp: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Kết quả thực hiện: </w:t>
      </w:r>
      <w:r>
        <w:rPr>
          <w:rFonts w:ascii="Times New Roman" w:hAnsi="Times New Roman" w:cs="Times New Roman" w:eastAsia="Times New Roman"/>
          <w:b w:val="false"/>
          <w:sz w:val="26"/>
        </w:rPr>
        <w:t>Giấy chứng nhận đăng ký cung cấp dịch vụ kiểm định, hiệu chuẩn, thử nghiệm phương tiện đo, chuẩn đo lường</w:t>
      </w:r>
    </w:p>
    <w:p>
      <w:pPr>
        <w:spacing w:after="0" w:before="0" w:lineRule="auto" w:line="276"/>
        <w:jc w:val="both"/>
      </w:pPr>
      <w:r>
        <w:rPr>
          <w:rFonts w:ascii="Times New Roman" w:hAnsi="Times New Roman" w:cs="Times New Roman" w:eastAsia="Times New Roman"/>
          <w:b w:val="true"/>
          <w:sz w:val="26"/>
        </w:rPr>
        <w:t xml:space="preserve">Căn cứ pháp lý: </w:t>
      </w:r>
    </w:p>
    <w:tbl>
      <w:tblPr>
        <w:tblW w:w="0" w:type="auto"/>
        <w:tblBorders>
          <w:top w:val="single"/>
          <w:left w:val="single"/>
          <w:bottom w:val="single"/>
          <w:right w:val="single"/>
          <w:insideH w:val="single"/>
          <w:insideV w:val="single"/>
        </w:tblBorders>
      </w:tblPr>
      <w:tr>
        <w:tc>
          <w:tcPr>
            <w:tcW w:w="2000"/>
          </w:tcPr>
          <w:p/>
          <w:p>
            <w:pPr>
              <w:spacing w:after="0" w:before="0" w:lineRule="auto" w:line="276"/>
              <w:jc w:val="center"/>
            </w:pPr>
            <w:r>
              <w:rPr>
                <w:rFonts w:ascii="Times New Roman" w:hAnsi="Times New Roman" w:cs="Times New Roman" w:eastAsia="Times New Roman"/>
                <w:b w:val="true"/>
                <w:sz w:val="26"/>
              </w:rPr>
              <w:t>Số ký hiệu</w:t>
            </w:r>
          </w:p>
        </w:tc>
        <w:tc>
          <w:tcPr>
            <w:tcW w:w="3500"/>
          </w:tcPr>
          <w:p/>
          <w:p>
            <w:pPr>
              <w:spacing w:after="0" w:before="0" w:lineRule="auto" w:line="276"/>
              <w:jc w:val="center"/>
            </w:pPr>
            <w:r>
              <w:rPr>
                <w:rFonts w:ascii="Times New Roman" w:hAnsi="Times New Roman" w:cs="Times New Roman" w:eastAsia="Times New Roman"/>
                <w:b w:val="true"/>
                <w:sz w:val="26"/>
              </w:rPr>
              <w:t>Trích yếu</w:t>
            </w:r>
          </w:p>
        </w:tc>
        <w:tc>
          <w:tcPr>
            <w:tcW w:w="1500"/>
          </w:tcPr>
          <w:p/>
          <w:p>
            <w:pPr>
              <w:spacing w:after="0" w:before="0" w:lineRule="auto" w:line="276"/>
              <w:jc w:val="center"/>
            </w:pPr>
            <w:r>
              <w:rPr>
                <w:rFonts w:ascii="Times New Roman" w:hAnsi="Times New Roman" w:cs="Times New Roman" w:eastAsia="Times New Roman"/>
                <w:b w:val="true"/>
                <w:sz w:val="26"/>
              </w:rPr>
              <w:t>Ngày ban hành</w:t>
            </w:r>
          </w:p>
        </w:tc>
        <w:tc>
          <w:tcPr>
            <w:tcW w:w="3000"/>
          </w:tcPr>
          <w:p/>
          <w:p>
            <w:pPr>
              <w:spacing w:after="0" w:before="0" w:lineRule="auto" w:line="276"/>
              <w:jc w:val="center"/>
            </w:pPr>
            <w:r>
              <w:rPr>
                <w:rFonts w:ascii="Times New Roman" w:hAnsi="Times New Roman" w:cs="Times New Roman" w:eastAsia="Times New Roman"/>
                <w:b w:val="true"/>
                <w:sz w:val="26"/>
              </w:rPr>
              <w:t>Cơ quan ban hành</w:t>
            </w:r>
          </w:p>
        </w:tc>
      </w:tr>
      <w:tr>
        <w:tc>
          <w:p/>
          <w:p>
            <w:pPr>
              <w:spacing w:after="0" w:before="0" w:lineRule="auto" w:line="276"/>
              <w:jc w:val="left"/>
            </w:pPr>
            <w:r>
              <w:rPr>
                <w:rFonts w:ascii="Times New Roman" w:hAnsi="Times New Roman" w:cs="Times New Roman" w:eastAsia="Times New Roman"/>
                <w:b w:val="false"/>
                <w:sz w:val="26"/>
              </w:rPr>
              <w:t>04/2011/QH13</w:t>
            </w:r>
          </w:p>
        </w:tc>
        <w:tc>
          <w:p/>
          <w:p>
            <w:pPr>
              <w:spacing w:after="0" w:before="0" w:lineRule="auto" w:line="276"/>
              <w:jc w:val="left"/>
            </w:pPr>
            <w:r>
              <w:rPr>
                <w:rFonts w:ascii="Times New Roman" w:hAnsi="Times New Roman" w:cs="Times New Roman" w:eastAsia="Times New Roman"/>
                <w:b w:val="false"/>
                <w:sz w:val="26"/>
              </w:rPr>
              <w:t>Luật Đo lường</w:t>
            </w:r>
          </w:p>
        </w:tc>
        <w:tc>
          <w:p/>
          <w:p>
            <w:pPr>
              <w:spacing w:after="0" w:before="0" w:lineRule="auto" w:line="276"/>
              <w:jc w:val="left"/>
            </w:pPr>
            <w:r>
              <w:rPr>
                <w:rFonts w:ascii="Times New Roman" w:hAnsi="Times New Roman" w:cs="Times New Roman" w:eastAsia="Times New Roman"/>
                <w:b w:val="false"/>
                <w:sz w:val="26"/>
              </w:rPr>
              <w:t>11-11-2011</w:t>
            </w:r>
          </w:p>
        </w:tc>
        <w:tc>
          <w:p/>
          <w:p>
            <w:pPr>
              <w:spacing w:after="0" w:before="0" w:lineRule="auto" w:line="276"/>
              <w:jc w:val="left"/>
            </w:pPr>
            <w:r>
              <w:rPr>
                <w:rFonts w:ascii="Times New Roman" w:hAnsi="Times New Roman" w:cs="Times New Roman" w:eastAsia="Times New Roman"/>
                <w:b w:val="false"/>
                <w:sz w:val="26"/>
              </w:rPr>
              <w:t>Quốc Hội</w:t>
            </w:r>
          </w:p>
        </w:tc>
      </w:tr>
      <w:tr>
        <w:tc>
          <w:p/>
          <w:p>
            <w:pPr>
              <w:spacing w:after="0" w:before="0" w:lineRule="auto" w:line="276"/>
              <w:jc w:val="left"/>
            </w:pPr>
            <w:r>
              <w:rPr>
                <w:rFonts w:ascii="Times New Roman" w:hAnsi="Times New Roman" w:cs="Times New Roman" w:eastAsia="Times New Roman"/>
                <w:b w:val="false"/>
                <w:sz w:val="26"/>
              </w:rPr>
              <w:t>105/2016/NĐ-CP</w:t>
            </w:r>
          </w:p>
        </w:tc>
        <w:tc>
          <w:p/>
          <w:p>
            <w:pPr>
              <w:spacing w:after="0" w:before="0" w:lineRule="auto" w:line="276"/>
              <w:jc w:val="left"/>
            </w:pPr>
            <w:r>
              <w:rPr>
                <w:rFonts w:ascii="Times New Roman" w:hAnsi="Times New Roman" w:cs="Times New Roman" w:eastAsia="Times New Roman"/>
                <w:b w:val="false"/>
                <w:sz w:val="26"/>
              </w:rPr>
              <w:t>Nghị định 105/2016/NĐ-CP-Quy định về điều kiện hoạt động của tổ chức kiểm định, hiệu chuẩn, thử nghiệm phương tiện đo, chuẩn đo lường</w:t>
            </w:r>
          </w:p>
        </w:tc>
        <w:tc>
          <w:p/>
          <w:p>
            <w:pPr>
              <w:spacing w:after="0" w:before="0" w:lineRule="auto" w:line="276"/>
              <w:jc w:val="left"/>
            </w:pPr>
            <w:r>
              <w:rPr>
                <w:rFonts w:ascii="Times New Roman" w:hAnsi="Times New Roman" w:cs="Times New Roman" w:eastAsia="Times New Roman"/>
                <w:b w:val="false"/>
                <w:sz w:val="26"/>
              </w:rPr>
              <w:t>01-07-2016</w:t>
            </w:r>
          </w:p>
        </w:tc>
        <w:tc>
          <w:p/>
          <w:p>
            <w:pPr>
              <w:spacing w:after="0" w:before="0" w:lineRule="auto" w:line="276"/>
              <w:jc w:val="left"/>
            </w:pPr>
            <w:r>
              <w:rPr>
                <w:rFonts w:ascii="Times New Roman" w:hAnsi="Times New Roman" w:cs="Times New Roman" w:eastAsia="Times New Roman"/>
                <w:b w:val="false"/>
                <w:sz w:val="26"/>
              </w:rPr>
              <w:t>Chính phủ</w:t>
            </w:r>
          </w:p>
        </w:tc>
      </w:tr>
      <w:tr>
        <w:tc>
          <w:p/>
          <w:p>
            <w:pPr>
              <w:spacing w:after="0" w:before="0" w:lineRule="auto" w:line="276"/>
              <w:jc w:val="left"/>
            </w:pPr>
            <w:r>
              <w:rPr>
                <w:rFonts w:ascii="Times New Roman" w:hAnsi="Times New Roman" w:cs="Times New Roman" w:eastAsia="Times New Roman"/>
                <w:b w:val="false"/>
                <w:sz w:val="26"/>
              </w:rPr>
              <w:t>154/2018/NĐ-CP</w:t>
            </w:r>
          </w:p>
        </w:tc>
        <w:tc>
          <w:p/>
          <w:p>
            <w:pPr>
              <w:spacing w:after="0" w:before="0" w:lineRule="auto" w:line="276"/>
              <w:jc w:val="left"/>
            </w:pPr>
            <w:r>
              <w:rPr>
                <w:rFonts w:ascii="Times New Roman" w:hAnsi="Times New Roman" w:cs="Times New Roman" w:eastAsia="Times New Roman"/>
                <w:b w:val="false"/>
                <w:sz w:val="26"/>
              </w:rPr>
              <w:t>Nghị định 154/2018/NĐ-CP-Sửa đổi, bổ sung, bãi bỏ một số quy định về điều kiện đầu tư, kinh doanh trong lĩnh vực quản lý nhà nước của Bộ Khoa học và Công nghệ và một số quy định về kiểm tra chuyên ngành</w:t>
            </w:r>
          </w:p>
        </w:tc>
        <w:tc>
          <w:p/>
          <w:p>
            <w:pPr>
              <w:spacing w:after="0" w:before="0" w:lineRule="auto" w:line="276"/>
              <w:jc w:val="left"/>
            </w:pPr>
            <w:r>
              <w:rPr>
                <w:rFonts w:ascii="Times New Roman" w:hAnsi="Times New Roman" w:cs="Times New Roman" w:eastAsia="Times New Roman"/>
                <w:b w:val="false"/>
                <w:sz w:val="26"/>
              </w:rPr>
              <w:t>09-11-2018</w:t>
            </w:r>
          </w:p>
        </w:tc>
        <w:tc>
          <w:p/>
          <w:p>
            <w:pPr>
              <w:spacing w:after="0" w:before="0" w:lineRule="auto" w:line="276"/>
              <w:jc w:val="left"/>
            </w:pPr>
            <w:r>
              <w:rPr>
                <w:rFonts w:ascii="Times New Roman" w:hAnsi="Times New Roman" w:cs="Times New Roman" w:eastAsia="Times New Roman"/>
                <w:b w:val="false"/>
                <w:sz w:val="26"/>
              </w:rPr>
              <w:t>Chính phủ</w:t>
            </w:r>
          </w:p>
        </w:tc>
      </w:tr>
    </w:tbl>
    <w:p>
      <w:pPr>
        <w:spacing w:after="0" w:before="240" w:lineRule="auto" w:line="276"/>
        <w:jc w:val="both"/>
      </w:pPr>
      <w:r>
        <w:rPr>
          <w:rFonts w:ascii="Times New Roman" w:hAnsi="Times New Roman" w:cs="Times New Roman" w:eastAsia="Times New Roman"/>
          <w:b w:val="true"/>
          <w:sz w:val="26"/>
        </w:rPr>
        <w:t xml:space="preserve">Yêu cầu, điều kiện thực hiện: </w:t>
      </w:r>
      <w:r>
        <w:rPr>
          <w:rFonts w:ascii="Times New Roman" w:hAnsi="Times New Roman" w:cs="Times New Roman" w:eastAsia="Times New Roman"/>
          <w:b w:val="false"/>
          <w:sz w:val="26"/>
        </w:rPr>
        <w:t>Điều kiện hoạt động của tổ chức cung cấp dịch vụ kiểm định, hiệu chuẩn, thử nghiệm:
* Có tư cách pháp nhân theo quy định của pháp luật Việt Nam.
* Có đủ cơ sở vật chất kỹ thuật đáp ứng các điều kiện sau đây:
- Có đủ chuẩn đo lường, phương tiện, điều kiện môi trường thực hiện kiểm định, hiệu chuẩn, thử nghiệm theo yêu cầu của quy trình kiểm định, hiệu chuẩn, thử nghiệm tương ứng. Quy trình kiểm định, hiệu chuẩn, thử nghiệm phải phù hợp với hướng dẫn của Bộ Khoa học và Công nghệ hoặc khuyến nghị quốc tế của Tổ chức đo lường pháp định quốc tế, tiêu chuẩn của Ủy ban kỹ thuật điện quốc tế, tiêu chuẩn của Tổ chức tiêu chuẩn hóa quốc tế, tài liệu của nhà sản xuất có liên quan. Các chuẩn đo lường và phương tiện đo này phải được định kỳ kiểm định, hiệu chuẩn, thử nghiệm và được duy trì, bảo quản, sử dụng theo quy định của người đứng đầu tổ chức; giấy chứng nhận kiểm định, hiệu chuẩn, thử nghiệm phải còn thời hạn có giá trị.
- Có đủ quy trình kiểm định, hiệu chuẩn, thử nghiệm phù hợp với lĩnh vực đăng ký hoạt động.
- Có ít nhất 01 nhân viên kỹ thuật phù hợp với mỗi lĩnh vực hoạt động. Các nhân viên kỹ thuật này phải đáp ứng các yêu cầu sau đây:
+ Tốt nghiệp trung cấp hoặc tương đương trở lên;
+ Đã hoàn thành khóa đào tạo nghiệp vụ kiểm định, hiệu chuẩn, thử nghiệm tương ứng với lĩnh vực hoạt động và theo hướng dẫn của Bộ Khoa học và Công nghệ.
- Đã thiết lập và duy trì hệ thống quản lý phù hợp với Tiêu chuẩn quốc gia TCVN ISO/IEC 17025 đối với hoạt động kiểm định, hiệu chuẩn, thử nghiệm phương tiện đo, chuẩn đo lường. Có văn bản của người đứng đầu tổ chức quy định việc quản lý chứng chỉ (tem, dấu, giấy chứng nhận) kiểm định, hiệu chuẩn, thử nghiệm.
- Điều kiện hoạt động của tổ chức kiểm định, hiệu chuẩn, thử nghiệm được  chỉ định phải có các điều kiện sau:
+ Chuẩn công tác và chất chuẩn dùng trực tiếp để kiểm định phương tiện đo nhóm 2 thuộc lĩnh vực hoạt động được chỉ định phải đáp ứng các yêu cầu tại văn bản kỹ thuật đo lường Việt Nam tương ứng, phải được hiệu chuẩn, thử nghiệm hoặc so sánh tại tổ chức hiệu chuẩn, thử nghiệm tại Việt Nam có lĩnh vực hoạt động phù hợp được chỉ định hoặc tại tổ chức kiểm định, hiệu chuẩn, thử nghiệm ở nước ngoài có lĩnh vực hoạt động phù hợp được công nhận hoặc chỉ định và phải được chứng nhận theo quy định tại Điều 14 và Điều 15 của Luật đo lường.”
+ Có ít nhất 01 nhân viên kiểm định được chứng nhận, cấp thẻ kiểm định viên đo lường phù hợp với mỗi lĩnh vực hoạt động kiểm định phương tiện đo nhóm 2 được chỉ định.</w:t>
      </w:r>
    </w:p>
    <w:p>
      <w:pPr>
        <w:spacing w:after="0" w:before="0" w:lineRule="auto" w:line="276"/>
        <w:jc w:val="both"/>
      </w:pPr>
      <w:r>
        <w:rPr>
          <w:rFonts w:ascii="Times New Roman" w:hAnsi="Times New Roman" w:cs="Times New Roman" w:eastAsia="Times New Roman"/>
          <w:b w:val="true"/>
          <w:sz w:val="26"/>
        </w:rPr>
        <w:t xml:space="preserve">Từ khóa: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Mô tả: </w:t>
      </w:r>
      <w:r>
        <w:rPr>
          <w:rFonts w:ascii="Times New Roman" w:hAnsi="Times New Roman" w:cs="Times New Roman" w:eastAsia="Times New Roman"/>
          <w:b w:val="false"/>
          <w:sz w:val="26"/>
        </w:rPr>
        <w:t>Không có thông tin</w:t>
      </w:r>
    </w:p>
    <w:sectPr>
      <w:pgMar w:left="1702" w:top="1137" w:right="1137" w:bottom="1137"/>
    </w:sectPr>
  </w:body>
</w:document>
</file>

<file path=word/settings.xml><?xml version="1.0" encoding="utf-8"?>
<w:settings xmlns:w="http://schemas.openxmlformats.org/wordprocessingml/2006/main"/>
</file>

<file path=word/_rels/document.xml.rels><?xml version="1.0" encoding="UTF-8" standalone="no"?>
<Relationships xmlns="http://schemas.openxmlformats.org/package/2006/relationships">
<Relationship Id="rId1" Target="settings.xml" Type="http://schemas.openxmlformats.org/officeDocument/2006/relationships/settings"/>
</Relationships>

</file>

<file path=docProps/app.xml><?xml version="1.0" encoding="utf-8"?>
<Properties xmlns="http://schemas.openxmlformats.org/officeDocument/2006/extended-properties">
  <Application>Apache POI</Applicat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2026-05-01T12:15:36Z</dcterms:created>
  <dc:creator>Apache POI</dc:creator>
</cp:coreProperties>
</file>