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7443/QĐ-NHCS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nợ đối với khách hàng vay vốn theo phương thức cho vay trực tiếp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Khi có nhu cầu gia hạn nợ, trước ngày đến hạn trả nợ cuối cùng, tối đa 03 tháng và tối thiểu 05 ngày làm việc, khách hàng lập Giấy đề nghị gia hạn nợ (mẫu số 09B/TD) gửi NHCSXH nơi cho vay.</w:t>
      </w:r>
    </w:p>
    <w:p>
      <w:pPr>
        <w:spacing w:after="0" w:before="0" w:lineRule="auto" w:line="276"/>
        <w:jc w:val="both"/>
      </w:pPr>
      <w:r>
        <w:rPr>
          <w:rFonts w:ascii="Times New Roman" w:hAnsi="Times New Roman" w:cs="Times New Roman" w:eastAsia="Times New Roman"/>
          <w:b w:val="false"/>
          <w:sz w:val="26"/>
        </w:rPr>
        <w:t>Bước 2. NHCSXH nơi thực hiện thủ tục
Kiểm tra tính hợp pháp, hợp lệ của Giấy đề nghị gia hạn nợ, kiểm tra thực tế nguyên nhân chưa trả được nợ của khách hàng.
- Trường hợp khách hàng đủ điều kiện gia hạn nợ: Lập Thông báo kết quả phê duyệt gia hạn nợ (mẫu số 09.1/TD) gửi cho khách hàng lưu giữ.
- Trường hợp khách hàng không đủ điều kiện gia hạn nợ: Lập Thông báo danh sách khách hàng không được gia hạn nợ (mẫu số 09.2/TD) gửi cho khách hàng lưu giữ.</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Giấy đề nghị gia hạn nợ (mẫu số 09B/TD) cho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gia hạn nợ</w:t>
            </w:r>
          </w:p>
        </w:tc>
        <w:tc>
          <w:p/>
          <w:p>
            <w:pPr>
              <w:spacing w:after="0" w:before="0" w:lineRule="auto" w:line="276"/>
              <w:jc w:val="left"/>
            </w:pPr>
            <w:r>
              <w:rPr>
                <w:rFonts w:ascii="Times New Roman" w:hAnsi="Times New Roman" w:cs="Times New Roman" w:eastAsia="Times New Roman"/>
                <w:b w:val="false"/>
                <w:sz w:val="26"/>
              </w:rPr>
              <w:t>09B-TD-(Giấy đề nghị gia hạn nợ CV trực tiếp).docx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gia hạn nợ (mẫu số 09.1/TD);, Thông báo danh sách khách hàng không được gia hạn nợ (mẫu số 09.2/TD)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50/2010/QĐ-TTg</w:t>
            </w:r>
          </w:p>
        </w:tc>
        <w:tc>
          <w:p/>
          <w:p>
            <w:pPr>
              <w:spacing w:after="0" w:before="0" w:lineRule="auto" w:line="276"/>
              <w:jc w:val="left"/>
            </w:pPr>
            <w:r>
              <w:rPr>
                <w:rFonts w:ascii="Times New Roman" w:hAnsi="Times New Roman" w:cs="Times New Roman" w:eastAsia="Times New Roman"/>
                <w:b w:val="false"/>
                <w:sz w:val="26"/>
              </w:rPr>
              <w:t>50/2010/QĐ-TTg	</w:t>
            </w:r>
          </w:p>
        </w:tc>
        <w:tc>
          <w:p/>
          <w:p>
            <w:pPr>
              <w:spacing w:after="0" w:before="0" w:lineRule="auto" w:line="276"/>
              <w:jc w:val="left"/>
            </w:pPr>
            <w:r>
              <w:rPr>
                <w:rFonts w:ascii="Times New Roman" w:hAnsi="Times New Roman" w:cs="Times New Roman" w:eastAsia="Times New Roman"/>
                <w:b w:val="false"/>
                <w:sz w:val="26"/>
              </w:rPr>
              <w:t>28-07-2010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V/v ban hành Quy chế tổ chức và hoạt động của Tổ TK&amp;VV;</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V/v thực hiện Điều 21 Quyết định 15/QĐ-HĐQT ngày 05/3/2013 của Hội đồng quản trị NHCSXH về Quy chế tổ chức và hoạt động của Tổ TK&amp;VV.</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08/2021/QĐ-TTg</w:t>
            </w:r>
          </w:p>
        </w:tc>
        <w:tc>
          <w:p/>
          <w:p>
            <w:pPr>
              <w:spacing w:after="0" w:before="0" w:lineRule="auto" w:line="276"/>
              <w:jc w:val="left"/>
            </w:pPr>
            <w:r>
              <w:rPr>
                <w:rFonts w:ascii="Times New Roman" w:hAnsi="Times New Roman" w:cs="Times New Roman" w:eastAsia="Times New Roman"/>
                <w:b w:val="false"/>
                <w:sz w:val="26"/>
              </w:rPr>
              <w:t>Quyết định số 08/2021/QĐ-TTg ngày 11/03/2021 của Thủ tướng Chính phủ sửa đổi, bổ sung một số điều của Quy chế xử lý nợ bị rủi ro tại NHCSXH ban hành kèm theo Quyết định số 50/2010/QĐ-TTg ngày 28/07/2010 của Thủ tướng Chính phủ</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7441/NHCS-TDNN</w:t>
            </w:r>
          </w:p>
        </w:tc>
        <w:tc>
          <w:p/>
          <w:p>
            <w:pPr>
              <w:spacing w:after="0" w:before="0" w:lineRule="auto" w:line="276"/>
              <w:jc w:val="left"/>
            </w:pPr>
            <w:r>
              <w:rPr>
                <w:rFonts w:ascii="Times New Roman" w:hAnsi="Times New Roman" w:cs="Times New Roman" w:eastAsia="Times New Roman"/>
                <w:b w:val="false"/>
                <w:sz w:val="26"/>
              </w:rPr>
              <w:t>Quyết định về việc ủy quyền gia hạn nợ trong Hệ thống Ngân hàng Chính sách xã hội</w:t>
            </w:r>
          </w:p>
        </w:tc>
        <w:tc>
          <w:p/>
          <w:p>
            <w:pPr>
              <w:spacing w:after="0" w:before="0" w:lineRule="auto" w:line="276"/>
              <w:jc w:val="left"/>
            </w:pPr>
            <w:r>
              <w:rPr>
                <w:rFonts w:ascii="Times New Roman" w:hAnsi="Times New Roman" w:cs="Times New Roman" w:eastAsia="Times New Roman"/>
                <w:b w:val="false"/>
                <w:sz w:val="26"/>
              </w:rPr>
              <w:t>15-09-2023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7442/NHCS-TDNN</w:t>
            </w:r>
          </w:p>
        </w:tc>
        <w:tc>
          <w:p/>
          <w:p>
            <w:pPr>
              <w:spacing w:after="0" w:before="0" w:lineRule="auto" w:line="276"/>
              <w:jc w:val="left"/>
            </w:pPr>
            <w:r>
              <w:rPr>
                <w:rFonts w:ascii="Times New Roman" w:hAnsi="Times New Roman" w:cs="Times New Roman" w:eastAsia="Times New Roman"/>
                <w:b w:val="false"/>
                <w:sz w:val="26"/>
              </w:rPr>
              <w:t>Về việc thực hiện gia hạn nợ trong hệ thống NHCSXH theo Quyết định số 54/QĐ-HĐQT</w:t>
            </w:r>
          </w:p>
        </w:tc>
        <w:tc>
          <w:p/>
          <w:p>
            <w:pPr>
              <w:spacing w:after="0" w:before="0" w:lineRule="auto" w:line="276"/>
              <w:jc w:val="left"/>
            </w:pPr>
            <w:r>
              <w:rPr>
                <w:rFonts w:ascii="Times New Roman" w:hAnsi="Times New Roman" w:cs="Times New Roman" w:eastAsia="Times New Roman"/>
                <w:b w:val="false"/>
                <w:sz w:val="26"/>
              </w:rPr>
              <w:t>15-09-2023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54/QĐ-HĐQT</w:t>
            </w:r>
          </w:p>
        </w:tc>
        <w:tc>
          <w:p/>
          <w:p>
            <w:pPr>
              <w:spacing w:after="0" w:before="0" w:lineRule="auto" w:line="276"/>
              <w:jc w:val="left"/>
            </w:pPr>
            <w:r>
              <w:rPr>
                <w:rFonts w:ascii="Times New Roman" w:hAnsi="Times New Roman" w:cs="Times New Roman" w:eastAsia="Times New Roman"/>
                <w:b w:val="false"/>
                <w:sz w:val="26"/>
              </w:rPr>
              <w:t>Quyết định Ban hành Quy định gia hạn nợ trong hệ thống Ngân hàng Chính sách xã hội;</w:t>
            </w:r>
          </w:p>
        </w:tc>
        <w:tc>
          <w:p/>
          <w:p>
            <w:pPr>
              <w:spacing w:after="0" w:before="0" w:lineRule="auto" w:line="276"/>
              <w:jc w:val="left"/>
            </w:pPr>
            <w:r>
              <w:rPr>
                <w:rFonts w:ascii="Times New Roman" w:hAnsi="Times New Roman" w:cs="Times New Roman" w:eastAsia="Times New Roman"/>
                <w:b w:val="false"/>
                <w:sz w:val="26"/>
              </w:rPr>
              <w:t>15-09-2023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thuộc đối tượng được vay vốn theo quy định, sử dụng vốn vay đúng mục đích;
- Khách hàng gặp khó khăn về tài chính do nguyên nhân khách quan dẫn đến khách hàng chưa trả được nợ theo thời hạn đã cam kết và có nhu cầu gia hạn nợ.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2026-05-20T05:22:48Z</dcterms:created>
  <dc:creator>Apache POI</dc:creator>
</cp:coreProperties>
</file>